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w:t>
      </w:r>
      <w:proofErr w:type="spellStart"/>
      <w:r>
        <w:t>vysporiadanie</w:t>
      </w:r>
      <w:proofErr w:type="spellEnd"/>
      <w:r>
        <w:t xml:space="preserv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FE4884" w:rsidRPr="00D828B9" w:rsidRDefault="00FE4884" w:rsidP="00093072">
      <w:pPr>
        <w:spacing w:before="120" w:line="264" w:lineRule="auto"/>
        <w:ind w:left="426"/>
        <w:jc w:val="both"/>
      </w:pPr>
      <w:commentRangeStart w:id="0"/>
      <w:r w:rsidRPr="00D828B9">
        <w:rPr>
          <w:b/>
        </w:rPr>
        <w:lastRenderedPageBreak/>
        <w:t>Financujúca banka</w:t>
      </w:r>
      <w:r w:rsidRPr="00D828B9">
        <w:t xml:space="preserve"> </w:t>
      </w:r>
      <w:commentRangeEnd w:id="0"/>
      <w:r>
        <w:rPr>
          <w:rStyle w:val="Odkaznakomentr"/>
          <w:rFonts w:eastAsia="Times New Roman"/>
          <w:lang w:val="x-none" w:eastAsia="x-none"/>
        </w:rPr>
        <w:commentReference w:id="0"/>
      </w:r>
      <w:r w:rsidRPr="00D828B9">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rsidR="00FE4884" w:rsidRDefault="00FE4884" w:rsidP="00FE4884">
      <w:pPr>
        <w:spacing w:before="120" w:after="120"/>
        <w:ind w:left="426"/>
        <w:jc w:val="both"/>
        <w:rPr>
          <w:b/>
        </w:rPr>
      </w:pPr>
      <w:r w:rsidRPr="00D828B9">
        <w:rPr>
          <w:b/>
          <w:bCs/>
        </w:rPr>
        <w:t>Financujúca inštitúcia</w:t>
      </w:r>
      <w:r w:rsidRPr="00D828B9">
        <w:rPr>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FE4884" w:rsidRDefault="00FE4884">
      <w:pPr>
        <w:spacing w:before="120" w:after="120"/>
        <w:ind w:left="426"/>
        <w:jc w:val="both"/>
        <w:rPr>
          <w:b/>
        </w:rPr>
      </w:pPr>
      <w:r w:rsidRPr="00D828B9">
        <w:rPr>
          <w:b/>
        </w:rPr>
        <w:t xml:space="preserve">Hlásenie o začatí realizácie </w:t>
      </w:r>
      <w:r>
        <w:rPr>
          <w:b/>
        </w:rPr>
        <w:t xml:space="preserve">hlavných aktivít </w:t>
      </w:r>
      <w:r w:rsidRPr="00D828B9">
        <w:rPr>
          <w:b/>
        </w:rPr>
        <w:t xml:space="preserve">Projektu </w:t>
      </w:r>
      <w:r w:rsidRPr="00D828B9">
        <w:t xml:space="preserve">- formulár (tvorí Prílohu č. 3 Zmluvy o poskytnutí NFP), prostredníctvom ktorého Prijímateľ oznamuje Poskytovateľovi Začatie realizácie </w:t>
      </w:r>
      <w:r>
        <w:t xml:space="preserve">hlavných </w:t>
      </w:r>
      <w:r w:rsidRPr="00D828B9">
        <w:t>aktivít Projektu</w:t>
      </w:r>
      <w:r>
        <w:t xml:space="preserve"> a informáciu o dátume začatia realizácie podporných aktivít Projektu</w:t>
      </w:r>
      <w:r w:rsidRPr="00D828B9">
        <w:t>;</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w:t>
      </w:r>
      <w:r>
        <w:rPr>
          <w:bCs/>
        </w:rPr>
        <w:lastRenderedPageBreak/>
        <w:t>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EE0DF4">
      <w:pPr>
        <w:spacing w:before="120" w:after="120"/>
        <w:ind w:left="426"/>
        <w:jc w:val="both"/>
        <w:rPr>
          <w:bCs/>
        </w:rPr>
      </w:pPr>
    </w:p>
    <w:p w:rsidR="00FE4884" w:rsidRDefault="00FE4884">
      <w:pPr>
        <w:pStyle w:val="Zkladntext2"/>
        <w:widowControl w:val="0"/>
        <w:tabs>
          <w:tab w:val="left" w:pos="360"/>
        </w:tabs>
        <w:spacing w:before="120" w:line="240" w:lineRule="auto"/>
        <w:ind w:left="426"/>
        <w:jc w:val="both"/>
        <w:rPr>
          <w:bCs/>
        </w:rPr>
      </w:pPr>
      <w:proofErr w:type="spellStart"/>
      <w:r w:rsidRPr="00D828B9">
        <w:rPr>
          <w:b/>
          <w:bCs/>
        </w:rPr>
        <w:t>Mikro</w:t>
      </w:r>
      <w:proofErr w:type="spellEnd"/>
      <w:r w:rsidRPr="00D828B9">
        <w:rPr>
          <w:b/>
          <w:bCs/>
        </w:rPr>
        <w:t xml:space="preserve">, malý alebo stredný podnik </w:t>
      </w:r>
      <w:r w:rsidRPr="00D828B9">
        <w:rPr>
          <w:bCs/>
        </w:rPr>
        <w:t xml:space="preserve">alebo </w:t>
      </w:r>
      <w:r w:rsidRPr="00D828B9">
        <w:rPr>
          <w:b/>
          <w:bCs/>
        </w:rPr>
        <w:t xml:space="preserve">MSP – </w:t>
      </w:r>
      <w:r w:rsidRPr="00D828B9">
        <w:rPr>
          <w:bCs/>
        </w:rPr>
        <w:t>znamená podnik vymedzený v prílohe č. 1 Nariadenia Komisie (EÚ) č. 651/2014 zo 17. júna 2014 o vyhlásení určitých kategórií pomoci za zlučiteľné s vnútorným trhom podľa článkov 107 a 108 zmluvy</w:t>
      </w:r>
      <w:r>
        <w:rPr>
          <w:bCs/>
        </w:rPr>
        <w:t>, ak v príslušnej schéme pomoci nie je uvedené inak</w:t>
      </w:r>
      <w:r w:rsidRPr="00D828B9">
        <w:rPr>
          <w:bCs/>
        </w:rPr>
        <w:t>;</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w:t>
      </w:r>
      <w:r>
        <w:lastRenderedPageBreak/>
        <w:t>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vnútornom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lastRenderedPageBreak/>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EE0DF4">
      <w:pPr>
        <w:numPr>
          <w:ilvl w:val="2"/>
          <w:numId w:val="18"/>
        </w:numPr>
        <w:tabs>
          <w:tab w:val="clear" w:pos="2973"/>
        </w:tabs>
        <w:spacing w:before="120" w:after="120"/>
        <w:ind w:left="709" w:hanging="283"/>
        <w:jc w:val="both"/>
      </w:pPr>
    </w:p>
    <w:p w:rsidR="00EE0DF4" w:rsidRDefault="00083609">
      <w:pPr>
        <w:pStyle w:val="AODefHead"/>
        <w:spacing w:before="120" w:after="120" w:line="240" w:lineRule="auto"/>
        <w:ind w:left="426"/>
        <w:rPr>
          <w:sz w:val="24"/>
          <w:szCs w:val="24"/>
        </w:rPr>
      </w:pPr>
      <w:r>
        <w:rPr>
          <w:b/>
          <w:bCs/>
          <w:sz w:val="24"/>
          <w:szCs w:val="24"/>
        </w:rPr>
        <w:lastRenderedPageBreak/>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
      <w:r>
        <w:rPr>
          <w:sz w:val="24"/>
          <w:szCs w:val="24"/>
        </w:rPr>
        <w:t>......................</w:t>
      </w:r>
      <w:commentRangeEnd w:id="1"/>
      <w:r>
        <w:rPr>
          <w:rStyle w:val="Odkaznakomentr"/>
          <w:sz w:val="24"/>
          <w:szCs w:val="24"/>
        </w:rPr>
        <w:commentReference w:id="1"/>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2"/>
      <w:r>
        <w:rPr>
          <w:sz w:val="24"/>
          <w:szCs w:val="24"/>
        </w:rPr>
        <w:t>Vyzvaní</w:t>
      </w:r>
      <w:commentRangeEnd w:id="2"/>
      <w:r>
        <w:rPr>
          <w:rStyle w:val="Odkaznakomentr"/>
          <w:sz w:val="24"/>
          <w:szCs w:val="24"/>
        </w:rPr>
        <w:commentReference w:id="2"/>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w:t>
      </w:r>
      <w:r>
        <w:rPr>
          <w:sz w:val="24"/>
          <w:szCs w:val="24"/>
        </w:rPr>
        <w:lastRenderedPageBreak/>
        <w:t xml:space="preserve">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t>vysporiadanie</w:t>
      </w:r>
      <w:proofErr w:type="spellEnd"/>
      <w:r>
        <w:t xml:space="preserv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w:t>
      </w:r>
      <w:proofErr w:type="spellStart"/>
      <w:r>
        <w:t>ŽoP</w:t>
      </w:r>
      <w:proofErr w:type="spellEnd"/>
      <w:r>
        <w:t>“) (</w:t>
      </w:r>
      <w:proofErr w:type="spellStart"/>
      <w:r>
        <w:t>predfinancovanie</w:t>
      </w:r>
      <w:proofErr w:type="spellEnd"/>
      <w: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t>ŽoP</w:t>
      </w:r>
      <w:proofErr w:type="spellEnd"/>
      <w: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lastRenderedPageBreak/>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3"/>
      <w:r>
        <w:t>Predmet Projektu bol riadne dodaný Prijímateľovi, Prijímateľ ho prevzal a ak to vyplýva z charakteru plnenia, aj ho uviedol do užívania. Splnenie tejto podmienky sa preukazuje najmä:</w:t>
      </w:r>
      <w:commentRangeEnd w:id="3"/>
      <w:r>
        <w:rPr>
          <w:rStyle w:val="Odkaznakomentr"/>
          <w:sz w:val="24"/>
        </w:rPr>
        <w:commentReference w:id="3"/>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w:t>
      </w:r>
      <w:proofErr w:type="spellStart"/>
      <w:r>
        <w:rPr>
          <w:bCs/>
        </w:rPr>
        <w:t>vady</w:t>
      </w:r>
      <w:proofErr w:type="spellEnd"/>
      <w:r>
        <w:rPr>
          <w:bCs/>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4"/>
      <w:r>
        <w:t>dokument</w:t>
      </w:r>
      <w:commentRangeEnd w:id="4"/>
      <w:r>
        <w:rPr>
          <w:rStyle w:val="Odkaznakomentr"/>
          <w:sz w:val="24"/>
          <w:lang w:val="x-none" w:eastAsia="x-none"/>
        </w:rPr>
        <w:commentReference w:id="4"/>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5"/>
      <w:r>
        <w:t>Tým nie je dotknutá možnosť skoršieho ukončenia jednotlivých Aktivít Projektu za účelom dodržania lehôt uvedených v Prílohe č. 2 k rozhodnutiu o schválení žiadosti o NFP</w:t>
      </w:r>
      <w:commentRangeEnd w:id="5"/>
      <w:r>
        <w:t xml:space="preserve">; </w:t>
      </w:r>
      <w:r>
        <w:rPr>
          <w:rStyle w:val="Odkaznakomentr"/>
          <w:sz w:val="24"/>
        </w:rPr>
        <w:commentReference w:id="5"/>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25/2006 Z. z. o verejnom obstarávaní a o zmene a doplnení </w:t>
      </w:r>
      <w:r>
        <w:rPr>
          <w:sz w:val="24"/>
          <w:szCs w:val="24"/>
        </w:rPr>
        <w:lastRenderedPageBreak/>
        <w:t>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vnútornom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w:t>
      </w:r>
      <w:proofErr w:type="spellStart"/>
      <w:r>
        <w:rPr>
          <w:bCs/>
          <w:sz w:val="24"/>
          <w:szCs w:val="24"/>
        </w:rPr>
        <w:t>ex-ante</w:t>
      </w:r>
      <w:proofErr w:type="spellEnd"/>
      <w:r>
        <w:rPr>
          <w:bCs/>
          <w:sz w:val="24"/>
          <w:szCs w:val="24"/>
        </w:rPr>
        <w:t xml:space="preserv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proofErr w:type="spellStart"/>
      <w:r>
        <w:rPr>
          <w:bCs/>
          <w:sz w:val="24"/>
          <w:szCs w:val="24"/>
        </w:rPr>
        <w:t>ex-ante</w:t>
      </w:r>
      <w:proofErr w:type="spellEnd"/>
      <w:r>
        <w:rPr>
          <w:bCs/>
          <w:sz w:val="24"/>
          <w:szCs w:val="24"/>
        </w:rPr>
        <w:t xml:space="preserv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lastRenderedPageBreak/>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Zákon o správach finančnej kontroly</w:t>
      </w:r>
      <w:r>
        <w:rPr>
          <w:sz w:val="24"/>
          <w:szCs w:val="24"/>
        </w:rPr>
        <w:t xml:space="preserve"> - zákon č. 440/2000 Z. z. o správach finančnej kontroly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w:t>
      </w:r>
      <w:proofErr w:type="spellStart"/>
      <w:r>
        <w:rPr>
          <w:b/>
        </w:rPr>
        <w:t>ŽoP</w:t>
      </w:r>
      <w:proofErr w:type="spellEnd"/>
      <w:r>
        <w:rPr>
          <w:b/>
        </w:rPr>
        <w:t xml:space="preserve">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w:t>
      </w:r>
      <w:proofErr w:type="spellStart"/>
      <w:r>
        <w:rPr>
          <w:b/>
          <w:bCs/>
        </w:rPr>
        <w:t>ŽoV</w:t>
      </w:r>
      <w:proofErr w:type="spellEnd"/>
      <w:r>
        <w:rPr>
          <w:b/>
          <w:bCs/>
        </w:rPr>
        <w:t xml:space="preserve">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lastRenderedPageBreak/>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Default="00083609">
      <w:pPr>
        <w:spacing w:before="120" w:after="120"/>
        <w:ind w:left="426"/>
        <w:jc w:val="both"/>
      </w:pPr>
      <w:r>
        <w:t>Užívateľ (ak je táto informácia relevantná)</w:t>
      </w:r>
      <w:r>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commentRangeStart w:id="6"/>
      <w:r>
        <w:t>Použitý systém financovania</w:t>
      </w:r>
      <w:r>
        <w:tab/>
        <w:t xml:space="preserve">: </w:t>
      </w:r>
      <w:r>
        <w:tab/>
        <w:t>.................................................</w:t>
      </w:r>
      <w:commentRangeEnd w:id="6"/>
      <w:r>
        <w:rPr>
          <w:rStyle w:val="Odkaznakomentr"/>
          <w:sz w:val="24"/>
        </w:rPr>
        <w:commentReference w:id="6"/>
      </w:r>
    </w:p>
    <w:p w:rsidR="00EE0DF4" w:rsidRDefault="00083609">
      <w:pPr>
        <w:widowControl w:val="0"/>
        <w:tabs>
          <w:tab w:val="left" w:pos="3544"/>
          <w:tab w:val="left" w:pos="4140"/>
        </w:tabs>
        <w:spacing w:before="120" w:after="120"/>
        <w:ind w:left="4140" w:hanging="3714"/>
        <w:jc w:val="both"/>
        <w:rPr>
          <w:rFonts w:eastAsia="SimSun"/>
          <w:lang w:eastAsia="en-US"/>
        </w:rPr>
      </w:pPr>
      <w:commentRangeStart w:id="7"/>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7"/>
      <w:r>
        <w:rPr>
          <w:rStyle w:val="Odkaznakomentr"/>
          <w:sz w:val="24"/>
        </w:rPr>
        <w:commentReference w:id="7"/>
      </w:r>
      <w:r>
        <w:rPr>
          <w:rFonts w:eastAsia="SimSun"/>
          <w:lang w:eastAsia="en-US"/>
        </w:rPr>
        <w:t xml:space="preserve"> a ich následné udržanie počas doby Udržateľnosti projektu v súlade s podmienkami uvedenými v článku 71 všeobecného nariadenia a v rozhodnutí o schválení žiadosti o NFP.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w:t>
      </w:r>
      <w:r>
        <w:rPr>
          <w:b w:val="0"/>
          <w:sz w:val="24"/>
          <w:szCs w:val="24"/>
        </w:rPr>
        <w:lastRenderedPageBreak/>
        <w:t xml:space="preserve">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finančného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8"/>
      <w:r>
        <w:t>.....</w:t>
      </w:r>
      <w:commentRangeEnd w:id="8"/>
      <w:r>
        <w:rPr>
          <w:rStyle w:val="Odkaznakomentr"/>
          <w:sz w:val="24"/>
        </w:rPr>
        <w:commentReference w:id="8"/>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commentRangeStart w:id="9"/>
      <w:r>
        <w:t xml:space="preserve">Prijímateľ vyhlasuje, že: </w:t>
      </w:r>
      <w:commentRangeEnd w:id="9"/>
      <w:r>
        <w:rPr>
          <w:rStyle w:val="Odkaznakomentr"/>
          <w:szCs w:val="20"/>
        </w:rPr>
        <w:commentReference w:id="9"/>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10"/>
      <w:r>
        <w:rPr>
          <w:sz w:val="24"/>
          <w:szCs w:val="24"/>
        </w:rPr>
        <w:t xml:space="preserve">má zabezpečené zdroje financovania Projektu vo výške </w:t>
      </w:r>
      <w:commentRangeStart w:id="11"/>
      <w:r>
        <w:rPr>
          <w:sz w:val="24"/>
          <w:szCs w:val="24"/>
        </w:rPr>
        <w:t>...... %</w:t>
      </w:r>
      <w:commentRangeEnd w:id="11"/>
      <w:r>
        <w:rPr>
          <w:rStyle w:val="Odkaznakomentr"/>
          <w:sz w:val="24"/>
          <w:szCs w:val="24"/>
        </w:rPr>
        <w:commentReference w:id="11"/>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oprávnených výdavkov na Realizáciu aktivít Projektu podľa ods. 1. písm. </w:t>
      </w:r>
      <w:r w:rsidR="00704A05">
        <w:rPr>
          <w:sz w:val="24"/>
          <w:szCs w:val="24"/>
        </w:rPr>
        <w:t>a</w:t>
      </w:r>
      <w:r>
        <w:rPr>
          <w:sz w:val="24"/>
          <w:szCs w:val="24"/>
        </w:rPr>
        <w:t>)             tohto článku rozhodnutia o schválení žiadosti o NFP a </w:t>
      </w:r>
      <w:commentRangeEnd w:id="10"/>
      <w:r>
        <w:rPr>
          <w:rStyle w:val="Odkaznakomentr"/>
          <w:sz w:val="24"/>
          <w:szCs w:val="24"/>
        </w:rPr>
        <w:commentReference w:id="10"/>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lastRenderedPageBreak/>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 Vyzvaním a jeho prílohami</w:t>
      </w:r>
      <w:r>
        <w:rPr>
          <w:iCs/>
        </w:rPr>
        <w:t>,</w:t>
      </w:r>
      <w:r>
        <w:t xml:space="preserve"> vrátane podkladov pre vypracovanie                           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lastRenderedPageBreak/>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proofErr w:type="spellStart"/>
      <w:r>
        <w:rPr>
          <w:b w:val="0"/>
          <w:sz w:val="24"/>
          <w:szCs w:val="24"/>
        </w:rPr>
        <w:t>spolufinacovanie</w:t>
      </w:r>
      <w:proofErr w:type="spellEnd"/>
      <w:r>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w:t>
      </w:r>
      <w:proofErr w:type="spellStart"/>
      <w:r>
        <w:rPr>
          <w:bCs/>
        </w:rPr>
        <w:t>Projektu</w:t>
      </w:r>
      <w:proofErr w:type="spellEnd"/>
      <w:r>
        <w:rPr>
          <w:bCs/>
        </w:rPr>
        <w:t xml:space="preserve">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lastRenderedPageBreak/>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EE0DF4"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12"/>
      <w:r>
        <w:t xml:space="preserve">do troch mesiacov </w:t>
      </w:r>
      <w:commentRangeEnd w:id="12"/>
      <w:r>
        <w:rPr>
          <w:rStyle w:val="Odkaznakomentr"/>
          <w:sz w:val="24"/>
        </w:rPr>
        <w:commentReference w:id="12"/>
      </w:r>
      <w:r>
        <w:t xml:space="preserve">po Ukončení realizácie hlavných aktivít Projektu, a to aj za všetky zrealizované podporné Aktivity. </w:t>
      </w:r>
    </w:p>
    <w:p w:rsidR="00EE0DF4" w:rsidRDefault="00083609">
      <w:pPr>
        <w:spacing w:before="120" w:after="120"/>
        <w:ind w:left="426" w:hanging="426"/>
        <w:jc w:val="both"/>
      </w:pPr>
      <w:commentRangeStart w:id="13"/>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13"/>
      <w:r>
        <w:rPr>
          <w:rStyle w:val="Odkaznakomentr"/>
          <w:sz w:val="24"/>
        </w:rPr>
        <w:commentReference w:id="13"/>
      </w:r>
    </w:p>
    <w:p w:rsidR="00EE0DF4" w:rsidRDefault="00083609">
      <w:pPr>
        <w:numPr>
          <w:ilvl w:val="0"/>
          <w:numId w:val="6"/>
        </w:numPr>
        <w:tabs>
          <w:tab w:val="clear" w:pos="900"/>
        </w:tabs>
        <w:spacing w:before="120" w:after="120"/>
        <w:ind w:left="709" w:hanging="283"/>
        <w:jc w:val="both"/>
      </w:pPr>
      <w:r>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w:t>
      </w:r>
      <w:r>
        <w:lastRenderedPageBreak/>
        <w:t xml:space="preserve">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14"/>
      <w:r>
        <w:t>pri ich najbližšej aktualizácii.</w:t>
      </w:r>
      <w:commentRangeEnd w:id="14"/>
      <w:r>
        <w:rPr>
          <w:rStyle w:val="Odkaznakomentr"/>
          <w:sz w:val="24"/>
        </w:rPr>
        <w:commentReference w:id="14"/>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15"/>
      <w:r>
        <w:rPr>
          <w:bCs/>
          <w:sz w:val="24"/>
          <w:szCs w:val="24"/>
        </w:rPr>
        <w:t xml:space="preserve">Začatím realizácie hlavných aktivít Projektu </w:t>
      </w:r>
      <w:commentRangeEnd w:id="15"/>
      <w:r>
        <w:rPr>
          <w:rStyle w:val="Odkaznakomentr"/>
          <w:sz w:val="24"/>
          <w:szCs w:val="24"/>
        </w:rPr>
        <w:commentReference w:id="15"/>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commentRangeStart w:id="16"/>
      <w:r>
        <w:rPr>
          <w:sz w:val="24"/>
          <w:szCs w:val="24"/>
        </w:rPr>
        <w:t>zníženie hodnoty Merateľného ukazovateľa Projektu o 5% alebo menej oproti výške Merateľného ukazovateľa Projektu, ktorá bola schválená v Žiadosti o NFP,</w:t>
      </w:r>
      <w:commentRangeEnd w:id="16"/>
      <w:r>
        <w:rPr>
          <w:rStyle w:val="Odkaznakomentr"/>
          <w:sz w:val="24"/>
          <w:szCs w:val="24"/>
        </w:rPr>
        <w:commentReference w:id="16"/>
      </w:r>
    </w:p>
    <w:p w:rsidR="00EE0DF4" w:rsidRDefault="00083609">
      <w:pPr>
        <w:pStyle w:val="AOHead4"/>
        <w:numPr>
          <w:ilvl w:val="3"/>
          <w:numId w:val="47"/>
        </w:numPr>
        <w:spacing w:before="120" w:after="120"/>
        <w:ind w:left="1134" w:hanging="142"/>
        <w:rPr>
          <w:sz w:val="24"/>
          <w:szCs w:val="24"/>
        </w:rPr>
      </w:pPr>
      <w:r>
        <w:rPr>
          <w:sz w:val="24"/>
          <w:szCs w:val="24"/>
        </w:rPr>
        <w:t xml:space="preserve">ak prečerpanie v rámci jednej zo skupín výdavkov neprekročí 15 % kumulatívne na túto skupinu výdavkov za celú dobu realizácie Projektu, za podmienky </w:t>
      </w:r>
      <w:r>
        <w:rPr>
          <w:sz w:val="24"/>
          <w:szCs w:val="24"/>
        </w:rPr>
        <w:lastRenderedPageBreak/>
        <w:t>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a e) tohto odseku, sú významnejšími zmenami Projektu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commentRangeStart w:id="17"/>
      <w:r>
        <w:t xml:space="preserve">Merateľných ukazovateľov Projektu, ak ide o zníženie hodnoty o viac ako 5% oproti výške Merateľného ukazovateľa, ktorá bola schválená v Žiadosti o NFP, </w:t>
      </w:r>
      <w:commentRangeEnd w:id="17"/>
      <w:r>
        <w:commentReference w:id="17"/>
      </w:r>
    </w:p>
    <w:p w:rsidR="00EE0DF4" w:rsidRDefault="00083609">
      <w:pPr>
        <w:pStyle w:val="Odsekzoznamu1"/>
        <w:numPr>
          <w:ilvl w:val="0"/>
          <w:numId w:val="48"/>
        </w:numPr>
        <w:tabs>
          <w:tab w:val="left" w:pos="851"/>
        </w:tabs>
        <w:spacing w:before="120" w:after="120"/>
        <w:ind w:left="850" w:hanging="425"/>
        <w:contextualSpacing w:val="0"/>
        <w:jc w:val="both"/>
      </w:pPr>
      <w:commentRangeStart w:id="18"/>
      <w:r>
        <w:t>týkajúcej sa začatia Verejného obstarávania na hlavné aktivity Projektu, ak sa s ním nezačne do 3 mesiacov od účinnosti rozhodnutia o schválení žiadosti o NFP,</w:t>
      </w:r>
      <w:commentRangeEnd w:id="18"/>
      <w:r>
        <w:commentReference w:id="18"/>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 xml:space="preserve">počtu alebo charakteru/povahy hlavných Aktivít Projektu alebo podmienok Realizácie aktivít Projektu, vrátane zmeny, ktorou sa navrhuje rozšírenie rozsahu </w:t>
      </w:r>
      <w:r>
        <w:lastRenderedPageBreak/>
        <w:t>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083609">
      <w:pPr>
        <w:numPr>
          <w:ilvl w:val="1"/>
          <w:numId w:val="6"/>
        </w:numPr>
        <w:tabs>
          <w:tab w:val="clear" w:pos="1620"/>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rsidR="00EE0DF4" w:rsidRDefault="00083609">
      <w:pPr>
        <w:numPr>
          <w:ilvl w:val="1"/>
          <w:numId w:val="6"/>
        </w:numPr>
        <w:tabs>
          <w:tab w:val="clear" w:pos="1620"/>
          <w:tab w:val="left" w:pos="426"/>
        </w:tabs>
        <w:spacing w:before="120" w:after="120"/>
        <w:ind w:left="426" w:hanging="426"/>
        <w:jc w:val="both"/>
      </w:pPr>
      <w:commentRangeStart w:id="19"/>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lastRenderedPageBreak/>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19"/>
    <w:p w:rsidR="00EE0DF4" w:rsidRDefault="00083609">
      <w:pPr>
        <w:numPr>
          <w:ilvl w:val="1"/>
          <w:numId w:val="6"/>
        </w:numPr>
        <w:tabs>
          <w:tab w:val="clear" w:pos="1620"/>
          <w:tab w:val="left" w:pos="426"/>
        </w:tabs>
        <w:spacing w:before="120" w:after="120"/>
        <w:ind w:left="426" w:hanging="426"/>
        <w:jc w:val="both"/>
      </w:pPr>
      <w:r>
        <w:rPr>
          <w:rStyle w:val="Odkaznakomentr"/>
          <w:sz w:val="24"/>
        </w:rPr>
        <w:commentReference w:id="19"/>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vnútornom audite týkajúce sa vykonávania vnútornej administratívnej kontroly. Oprávnenosť výdavkov podlieha kontrole podľa zákona o finančnej kontrole a vnútornom audite. Žiadosť o zmenu, </w:t>
      </w:r>
      <w:r>
        <w:lastRenderedPageBreak/>
        <w:t>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w:t>
      </w:r>
      <w:r>
        <w:lastRenderedPageBreak/>
        <w:t xml:space="preserve">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správy z kontroly je doručovaný osobným prevzatím alebo poštou prostredníctvom doporučenej zásielky s doručenkou s určenou úložnou (odbernou) lehotou </w:t>
      </w:r>
      <w:commentRangeStart w:id="20"/>
      <w:r>
        <w:t>3 kalendárne dni</w:t>
      </w:r>
      <w:commentRangeEnd w:id="20"/>
      <w:r>
        <w:commentReference w:id="20"/>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lastRenderedPageBreak/>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vnútornom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w:t>
      </w:r>
      <w:r>
        <w:lastRenderedPageBreak/>
        <w:t xml:space="preserve">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21"/>
      <w:r>
        <w:t>obvyklej praxe (</w:t>
      </w:r>
      <w:proofErr w:type="spellStart"/>
      <w:r>
        <w:t>best</w:t>
      </w:r>
      <w:proofErr w:type="spellEnd"/>
      <w:r>
        <w:t xml:space="preserve"> </w:t>
      </w:r>
      <w:proofErr w:type="spellStart"/>
      <w:r>
        <w:t>practice</w:t>
      </w:r>
      <w:proofErr w:type="spellEnd"/>
      <w:r>
        <w:t xml:space="preserve">) </w:t>
      </w:r>
      <w:commentRangeEnd w:id="21"/>
      <w:r>
        <w:commentReference w:id="21"/>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vyhlásením VO,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podpisom zmluvy s úspešným uchádzačom,</w:t>
      </w:r>
    </w:p>
    <w:p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 xml:space="preserve">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w:t>
      </w:r>
      <w:r>
        <w:lastRenderedPageBreak/>
        <w:t>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22"/>
      <w:r>
        <w:t xml:space="preserve">iných nevyhnutných úkonov </w:t>
      </w:r>
      <w:commentRangeEnd w:id="22"/>
      <w:r>
        <w:commentReference w:id="22"/>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 xml:space="preserve">odmietnuť výkon </w:t>
      </w:r>
      <w:proofErr w:type="spellStart"/>
      <w:r>
        <w:t>ex-ante</w:t>
      </w:r>
      <w:proofErr w:type="spellEnd"/>
      <w:r>
        <w:t xml:space="preserv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w:t>
      </w:r>
      <w:proofErr w:type="spellStart"/>
      <w:r>
        <w:t>ex-ante</w:t>
      </w:r>
      <w:proofErr w:type="spellEnd"/>
      <w:r>
        <w:t xml:space="preserv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lastRenderedPageBreak/>
        <w:t xml:space="preserve">V prípade, ak Poskytovateľ neoboznámi Prijímateľa (nezašle návrh správy z kontroly, resp. správu z kontroly) v lehote určenej na výkon administratívnej kontroly obstarávania služieb, tovarov, stavebných prác a súvisiacich postupov (a nedošlo k prerušeniu plynutia lehoty ani k odmietnutiu vykonania </w:t>
      </w:r>
      <w:proofErr w:type="spellStart"/>
      <w:r>
        <w:t>ex-ante</w:t>
      </w:r>
      <w:proofErr w:type="spellEnd"/>
      <w:r>
        <w:t xml:space="preserv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w:t>
      </w:r>
      <w:proofErr w:type="spellStart"/>
      <w:r>
        <w:t>ex-ante</w:t>
      </w:r>
      <w:proofErr w:type="spellEnd"/>
      <w:r>
        <w:t xml:space="preserv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w:t>
      </w:r>
      <w:proofErr w:type="spellStart"/>
      <w:r>
        <w:t>ex-ante</w:t>
      </w:r>
      <w:proofErr w:type="spellEnd"/>
      <w:r>
        <w:t xml:space="preserve"> kontroly pred vyhlásením VO uvedené v kapitole 3.3.7 Kontrola verejného obstarávania Systému riadenia EŠIF, ovplyvňuje možnosť určenia </w:t>
      </w:r>
      <w:proofErr w:type="spellStart"/>
      <w:r>
        <w:t>ex-ante</w:t>
      </w:r>
      <w:proofErr w:type="spellEnd"/>
      <w:r>
        <w:t xml:space="preserve"> finančnej opravy. Zároveň </w:t>
      </w:r>
      <w:r>
        <w:br/>
      </w:r>
      <w:r>
        <w:br/>
        <w:t xml:space="preserve">Prijímateľ berie na vedomie, že potvrdenie </w:t>
      </w:r>
      <w:proofErr w:type="spellStart"/>
      <w:r>
        <w:t>ex-ante</w:t>
      </w:r>
      <w:proofErr w:type="spellEnd"/>
      <w:r>
        <w:t xml:space="preserv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administratívna kontrola, resp. skôr ako bude potvrdená </w:t>
      </w:r>
      <w:proofErr w:type="spellStart"/>
      <w:r>
        <w:t>ex-ante</w:t>
      </w:r>
      <w:proofErr w:type="spellEnd"/>
      <w:r>
        <w:t xml:space="preserv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w:t>
      </w:r>
      <w:proofErr w:type="spellStart"/>
      <w:r>
        <w:t>ex-ante</w:t>
      </w:r>
      <w:proofErr w:type="spellEnd"/>
      <w:r>
        <w:t xml:space="preserv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w:t>
      </w:r>
      <w:r>
        <w:lastRenderedPageBreak/>
        <w:t xml:space="preserve">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w:t>
      </w:r>
      <w:proofErr w:type="spellStart"/>
      <w:r>
        <w:t>ŽoP</w:t>
      </w:r>
      <w:proofErr w:type="spellEnd"/>
      <w:r>
        <w:t xml:space="preserve">,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t>ex-ante</w:t>
      </w:r>
      <w:proofErr w:type="spellEnd"/>
      <w:r>
        <w:t xml:space="preserve"> finančnej opravy. Vo veci určenia </w:t>
      </w:r>
      <w:proofErr w:type="spellStart"/>
      <w:r>
        <w:t>ex-ante</w:t>
      </w:r>
      <w:proofErr w:type="spellEnd"/>
      <w: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4 VP. Konečné potvrdenie </w:t>
      </w:r>
      <w:proofErr w:type="spellStart"/>
      <w:r>
        <w:t>ex-ante</w:t>
      </w:r>
      <w:proofErr w:type="spellEnd"/>
      <w: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t>ex-ante</w:t>
      </w:r>
      <w:proofErr w:type="spellEnd"/>
      <w:r>
        <w:t xml:space="preserve"> finančnej korekcie. V prípade uzatvoreného dodatku k existujúcej zmluve na dodávku tovarov, </w:t>
      </w:r>
      <w:r>
        <w:lastRenderedPageBreak/>
        <w:t>služieb alebo stavebných prác medzi Prijímateľom a Dodávateľom Projektu sa ustanovenie týkajúce sa pripustenia súvisiacich výdavkov do financovania a </w:t>
      </w:r>
      <w:proofErr w:type="spellStart"/>
      <w:r>
        <w:t>ex-ante</w:t>
      </w:r>
      <w:proofErr w:type="spellEnd"/>
      <w:r>
        <w:t xml:space="preserv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w:t>
      </w:r>
      <w:proofErr w:type="spellStart"/>
      <w:r>
        <w:t>ex-ante</w:t>
      </w:r>
      <w:proofErr w:type="spellEnd"/>
      <w:r>
        <w:t xml:space="preserve"> opravy, tvorí Prílohu č. 4 (Finančné opravy za porušenie pravidiel a postupov obstarávania).</w:t>
      </w:r>
    </w:p>
    <w:p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23"/>
      <w:r>
        <w:t xml:space="preserve">v spojení s § </w:t>
      </w:r>
      <w:r w:rsidR="00093072">
        <w:t>8</w:t>
      </w:r>
      <w:r>
        <w:t xml:space="preserve"> zákona o finančnej kontrole</w:t>
      </w:r>
      <w:commentRangeEnd w:id="23"/>
      <w:r>
        <w:commentReference w:id="23"/>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 xml:space="preserve">Prijímateľ je povinný predkladať Poskytovateľovi spolu s každým zúčtovaním zálohovej platby, priebežnou platbou alebo poskytnutím </w:t>
      </w:r>
      <w:proofErr w:type="spellStart"/>
      <w:r>
        <w:t>predfinancovania</w:t>
      </w:r>
      <w:proofErr w:type="spellEnd"/>
      <w:r>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lastRenderedPageBreak/>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vnútornom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24"/>
      <w:r>
        <w:rPr>
          <w:rFonts w:ascii="Times New Roman" w:hAnsi="Times New Roman" w:cs="Times New Roman"/>
          <w:kern w:val="0"/>
          <w:sz w:val="24"/>
          <w:szCs w:val="24"/>
        </w:rPr>
        <w:t>KOMUNIKÁCIA</w:t>
      </w:r>
      <w:commentRangeEnd w:id="24"/>
      <w:r>
        <w:rPr>
          <w:rStyle w:val="Odkaznakomentr"/>
          <w:b w:val="0"/>
          <w:bCs w:val="0"/>
          <w:kern w:val="0"/>
          <w:szCs w:val="20"/>
        </w:rPr>
        <w:commentReference w:id="24"/>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lastRenderedPageBreak/>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lastRenderedPageBreak/>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25"/>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25"/>
      <w:r>
        <w:rPr>
          <w:rStyle w:val="Odkaznakomentr"/>
          <w:b w:val="0"/>
          <w:bCs w:val="0"/>
          <w:sz w:val="24"/>
          <w:szCs w:val="24"/>
        </w:rPr>
        <w:commentReference w:id="25"/>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26"/>
      <w:r>
        <w:t>z osobitného predpisu</w:t>
      </w:r>
      <w:commentRangeEnd w:id="26"/>
      <w:r>
        <w:rPr>
          <w:rStyle w:val="Odkaznakomentr"/>
          <w:sz w:val="24"/>
        </w:rPr>
        <w:commentReference w:id="26"/>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lastRenderedPageBreak/>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27"/>
      <w:r>
        <w:rPr>
          <w:bCs/>
        </w:rPr>
        <w:t>vytvorenie alebo zabezpečenie vytvorenia diela alebo iného práva duševného vlastníctva (vrátane priemyselného vlastníctva) pre Projekt</w:t>
      </w:r>
      <w:commentRangeEnd w:id="27"/>
      <w:r>
        <w:rPr>
          <w:rStyle w:val="Odkaznakomentr"/>
          <w:sz w:val="24"/>
          <w:lang w:val="x-none" w:eastAsia="x-none"/>
        </w:rPr>
        <w:commentReference w:id="27"/>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lastRenderedPageBreak/>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xml:space="preserve">)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28"/>
      <w:r>
        <w:rPr>
          <w:bCs/>
        </w:rPr>
        <w:t>Prijímateľ je povinný, s výnimkou  majetku, ktorého povaha to nedovoľuje (napr. software, licencie na predmety priemyselného vlastníctva, patenty, ochranné známky a podobne) a pozemkov, ak ich nie je možné poistiť</w:t>
      </w:r>
      <w:commentRangeEnd w:id="28"/>
      <w:r>
        <w:rPr>
          <w:bCs/>
        </w:rPr>
        <w:commentReference w:id="28"/>
      </w:r>
      <w:r>
        <w:rPr>
          <w:bCs/>
        </w:rPr>
        <w:t xml:space="preserve">, riadne poistiť Majetok nadobudnutý z NFP.  Pravidlá vzťahujúce sa na poistenie Majetku nadobudnutého z NFP, vrátane možnosti úplne vylúčiť alebo podstatne obmedziť povinnosť poistenia Majetku </w:t>
      </w:r>
      <w:r>
        <w:rPr>
          <w:bCs/>
        </w:rPr>
        <w:lastRenderedPageBreak/>
        <w:t>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Default="00083609">
      <w:pPr>
        <w:numPr>
          <w:ilvl w:val="0"/>
          <w:numId w:val="29"/>
        </w:numPr>
        <w:tabs>
          <w:tab w:val="clear" w:pos="2880"/>
        </w:tabs>
        <w:spacing w:before="120" w:after="120"/>
        <w:ind w:left="709" w:hanging="283"/>
        <w:jc w:val="both"/>
        <w:rPr>
          <w:bCs/>
        </w:rPr>
      </w:pPr>
      <w:r>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 najneskôr do 31. decembra 2023; </w:t>
      </w:r>
    </w:p>
    <w:p w:rsidR="00EE0DF4" w:rsidRDefault="00083609">
      <w:pPr>
        <w:numPr>
          <w:ilvl w:val="0"/>
          <w:numId w:val="29"/>
        </w:numPr>
        <w:tabs>
          <w:tab w:val="clear" w:pos="2880"/>
        </w:tabs>
        <w:spacing w:before="120" w:after="120"/>
        <w:ind w:left="709" w:hanging="283"/>
        <w:jc w:val="both"/>
        <w:rPr>
          <w:bCs/>
        </w:rPr>
      </w:pPr>
      <w:r>
        <w:rPr>
          <w:bCs/>
        </w:rPr>
        <w:t>v 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29"/>
      <w:r>
        <w:t xml:space="preserve">3 mesiacov </w:t>
      </w:r>
      <w:commentRangeEnd w:id="29"/>
      <w:r>
        <w:rPr>
          <w:rStyle w:val="Odkaznakomentr"/>
          <w:sz w:val="24"/>
          <w:lang w:val="x-none" w:eastAsia="x-none"/>
        </w:rPr>
        <w:commentReference w:id="29"/>
      </w:r>
      <w:r>
        <w:t xml:space="preserve">od Ukončenia realizácie hlavných aktivít Projektu alebo do podania žiadosti o platbu s príznakom záverečná, podľa toho, </w:t>
      </w:r>
      <w:bookmarkStart w:id="30" w:name="_GoBack"/>
      <w:bookmarkEnd w:id="30"/>
      <w:r>
        <w:t>ktorá skutočnosť nastane skôr;</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 xml:space="preserve">sú </w:t>
      </w:r>
      <w:r>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w:t>
      </w:r>
      <w:r>
        <w:rPr>
          <w:color w:val="000000"/>
        </w:rPr>
        <w:lastRenderedPageBreak/>
        <w:t xml:space="preserve">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podmienka úhrady výdavkov sa neuplatní, ak táto skutočnosť vyplýva zo Systému finančného riadenia s ohľadom na konkrétny systém financovania</w:t>
      </w:r>
      <w:r>
        <w:rPr>
          <w:color w:val="000000"/>
        </w:rPr>
        <w:t xml:space="preserve">;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w:t>
      </w:r>
      <w:proofErr w:type="spellStart"/>
      <w:r>
        <w:rPr>
          <w:bCs/>
        </w:rPr>
        <w:t>ŽoP</w:t>
      </w:r>
      <w:proofErr w:type="spellEnd"/>
      <w:r>
        <w:rPr>
          <w:bCs/>
        </w:rPr>
        <w:t xml:space="preserve">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w:t>
      </w:r>
      <w:proofErr w:type="spellStart"/>
      <w:r>
        <w:rPr>
          <w:bCs/>
        </w:rPr>
        <w:t>ŽoP</w:t>
      </w:r>
      <w:proofErr w:type="spellEnd"/>
      <w:r>
        <w:rPr>
          <w:bCs/>
        </w:rPr>
        <w:t xml:space="preserve"> a o takto vyčíslené Neoprávnené výdavky bude ponížená suma požadovaná                           na preplatenie v rámci podanej </w:t>
      </w:r>
      <w:proofErr w:type="spellStart"/>
      <w:r>
        <w:rPr>
          <w:bCs/>
        </w:rPr>
        <w:t>ŽoP</w:t>
      </w:r>
      <w:proofErr w:type="spellEnd"/>
      <w:r>
        <w:rPr>
          <w:bCs/>
        </w:rPr>
        <w:t xml:space="preserve">, ak vo zvyšnej časti bude </w:t>
      </w:r>
      <w:proofErr w:type="spellStart"/>
      <w:r>
        <w:rPr>
          <w:bCs/>
        </w:rPr>
        <w:t>ŽoP</w:t>
      </w:r>
      <w:proofErr w:type="spellEnd"/>
      <w:r>
        <w:rPr>
          <w:bCs/>
        </w:rPr>
        <w:t xml:space="preserve">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w:t>
      </w:r>
      <w:r>
        <w:lastRenderedPageBreak/>
        <w:t xml:space="preserve">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31"/>
      <w:r>
        <w:t>alebo vyznačením Začatia realizácie hlavných aktivít Projektu v ITMS2014+.</w:t>
      </w:r>
      <w:commentRangeEnd w:id="31"/>
      <w:r>
        <w:rPr>
          <w:rStyle w:val="Odkaznakomentr"/>
          <w:sz w:val="24"/>
        </w:rPr>
        <w:commentReference w:id="31"/>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Pr>
          <w:bCs/>
        </w:rPr>
        <w:t>ŽoP</w:t>
      </w:r>
      <w:proofErr w:type="spellEnd"/>
      <w:r>
        <w:rPr>
          <w:bCs/>
        </w:rPr>
        <w:t xml:space="preserve"> sa lehota uvedená v predchádzajúcej vete počíta odo dňa splatnosti </w:t>
      </w:r>
      <w:proofErr w:type="spellStart"/>
      <w:r>
        <w:rPr>
          <w:bCs/>
        </w:rPr>
        <w:t>ŽoP</w:t>
      </w:r>
      <w:proofErr w:type="spellEnd"/>
      <w:r>
        <w:rPr>
          <w:bCs/>
        </w:rPr>
        <w:t xml:space="preserve"> uvedenej v článku 132 všeobecného nariadenia. Uvedené neplatí, ak bolo omeškanie Poskytovateľa zavinené Prijímateľom. V prípade, že Poskytovateľ vykoná predmetný úkon alebo postup, dňom, kedy sa dozvedel                  </w:t>
      </w:r>
      <w:r>
        <w:rPr>
          <w:bCs/>
        </w:rPr>
        <w:lastRenderedPageBreak/>
        <w:t>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32"/>
      <w:r>
        <w:rPr>
          <w:bCs/>
        </w:rPr>
        <w:t>Rozpočte Projektu ako tvorí prílohu rozhodnutia a </w:t>
      </w:r>
      <w:commentRangeEnd w:id="32"/>
      <w:r>
        <w:rPr>
          <w:rStyle w:val="Odkaznakomentr"/>
          <w:szCs w:val="20"/>
        </w:rPr>
        <w:commentReference w:id="32"/>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tohto článku VP, došlo k uplynutiu lehôt na preplatenie podanej </w:t>
      </w:r>
      <w:proofErr w:type="spellStart"/>
      <w:r>
        <w:rPr>
          <w:bCs/>
        </w:rPr>
        <w:t>ŽoP</w:t>
      </w:r>
      <w:proofErr w:type="spellEnd"/>
      <w:r>
        <w:rPr>
          <w:bCs/>
        </w:rPr>
        <w:t xml:space="preserve">, ktoré sú stanovené vo VP a Prijímateľ si v oznámení uplatnil ako deň pozastavenia tridsiaty prvý deň po uplynutí lehôt na preplatenie podanej </w:t>
      </w:r>
      <w:proofErr w:type="spellStart"/>
      <w:r>
        <w:rPr>
          <w:bCs/>
        </w:rPr>
        <w:t>ŽoP</w:t>
      </w:r>
      <w:proofErr w:type="spellEnd"/>
      <w:r>
        <w:rPr>
          <w:bCs/>
        </w:rPr>
        <w:t>;</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w:t>
      </w:r>
      <w:proofErr w:type="spellStart"/>
      <w:r>
        <w:rPr>
          <w:bCs/>
        </w:rPr>
        <w:t>ŽoP</w:t>
      </w:r>
      <w:proofErr w:type="spellEnd"/>
      <w:r>
        <w:rPr>
          <w:bCs/>
        </w:rPr>
        <w:t xml:space="preserve">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w:t>
      </w:r>
      <w:proofErr w:type="spellStart"/>
      <w:r>
        <w:rPr>
          <w:bCs/>
        </w:rPr>
        <w:t>ŽoP</w:t>
      </w:r>
      <w:proofErr w:type="spellEnd"/>
      <w:r>
        <w:rPr>
          <w:bCs/>
        </w:rPr>
        <w:t xml:space="preserve"> výdavok vzťahujúci sa </w:t>
      </w:r>
      <w:r>
        <w:rPr>
          <w:bCs/>
        </w:rPr>
        <w:lastRenderedPageBreak/>
        <w:t xml:space="preserve">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w:t>
      </w:r>
      <w:r>
        <w:rPr>
          <w:bCs/>
        </w:rPr>
        <w:lastRenderedPageBreak/>
        <w:t xml:space="preserve">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lastRenderedPageBreak/>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povinností Prijímateľom podľa čl. 2 ods. 6 VP, ktoré je konštatované v rozhodnutí Komisie vydanom v nadväznosti na čl. 108 Zmluvy o fungovaní EÚ             </w:t>
      </w:r>
      <w:r>
        <w:rPr>
          <w:bCs/>
        </w:rPr>
        <w:lastRenderedPageBreak/>
        <w:t>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w:t>
      </w:r>
      <w:r>
        <w:rPr>
          <w:bCs/>
        </w:rPr>
        <w:lastRenderedPageBreak/>
        <w:t xml:space="preserve">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w:t>
      </w:r>
      <w:proofErr w:type="spellStart"/>
      <w:r>
        <w:t>predfinancovania</w:t>
      </w:r>
      <w:proofErr w:type="spellEnd"/>
      <w:r>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 okrem prípadov porušenia finančnej disciplíny podľa § 31 ods. 1 písmena a) zákona o rozpočtových pravidlách;</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 xml:space="preserve">vrátiť NFP alebo jeho časť v iných prípadoch, ak to ustanovujú VP, alebo ak došlo k mimoriadnemu ukončeniu Projektu v zmysle článku 15 VP; suma neprevyšujúca 40 </w:t>
      </w:r>
      <w:r>
        <w:lastRenderedPageBreak/>
        <w:t>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t>predfinancovania</w:t>
      </w:r>
      <w:proofErr w:type="spellEnd"/>
      <w:r>
        <w:t>;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083609">
      <w:pPr>
        <w:numPr>
          <w:ilvl w:val="0"/>
          <w:numId w:val="13"/>
        </w:numPr>
        <w:tabs>
          <w:tab w:val="clear" w:pos="540"/>
          <w:tab w:val="num" w:pos="-4962"/>
        </w:tabs>
        <w:spacing w:before="120" w:after="120"/>
        <w:ind w:left="425" w:hanging="425"/>
        <w:jc w:val="both"/>
      </w:pPr>
      <w:r>
        <w:t>Sumu vrátenia NFP alebo jeho časti stanoví Poskytovateľ v </w:t>
      </w:r>
      <w:proofErr w:type="spellStart"/>
      <w:r>
        <w:t>ŽoV</w:t>
      </w:r>
      <w:proofErr w:type="spellEnd"/>
      <w:r>
        <w:t>, ktorú zašle Prijímateľovi. Poskytovateľ v </w:t>
      </w:r>
      <w:proofErr w:type="spellStart"/>
      <w:r>
        <w:t>ŽoV</w:t>
      </w:r>
      <w:proofErr w:type="spellEnd"/>
      <w:r>
        <w:t xml:space="preserve"> uvedie výšku NFP, ktorú má Prijímateľ vrátiť                        a zároveň určí čísla účtov, na ktoré je Prijímateľ povinný vrátenie vykonať. </w:t>
      </w:r>
    </w:p>
    <w:p w:rsidR="00EE0DF4" w:rsidRDefault="00083609">
      <w:pPr>
        <w:numPr>
          <w:ilvl w:val="0"/>
          <w:numId w:val="13"/>
        </w:numPr>
        <w:tabs>
          <w:tab w:val="clear" w:pos="540"/>
          <w:tab w:val="num" w:pos="-4962"/>
        </w:tabs>
        <w:spacing w:before="120" w:after="120"/>
        <w:ind w:left="425" w:hanging="425"/>
        <w:jc w:val="both"/>
      </w:pPr>
      <w:r>
        <w:t>Prijímateľ je povinný vrátiť NFP alebo jeho časť uvedený v </w:t>
      </w:r>
      <w:proofErr w:type="spellStart"/>
      <w:r>
        <w:t>ŽoV</w:t>
      </w:r>
      <w:proofErr w:type="spellEnd"/>
      <w:r>
        <w:t xml:space="preserve"> do 60 dní odo dňa zaslania </w:t>
      </w:r>
      <w:proofErr w:type="spellStart"/>
      <w:r>
        <w:t>ŽoV</w:t>
      </w:r>
      <w:proofErr w:type="spellEnd"/>
      <w:r>
        <w:t xml:space="preserve">. Ak Prijímateľ túto povinnosť nesplní, ani nedôjde k uzatvoreniu </w:t>
      </w:r>
      <w:commentRangeStart w:id="33"/>
      <w:r>
        <w:t xml:space="preserve">dohody o splátkach alebo dohody o odklade </w:t>
      </w:r>
      <w:commentRangeEnd w:id="33"/>
      <w:r>
        <w:rPr>
          <w:rStyle w:val="Odkaznakomentr"/>
          <w:szCs w:val="20"/>
        </w:rPr>
        <w:commentReference w:id="33"/>
      </w:r>
      <w:r>
        <w:t>plnenia, Poskytovateľ:</w:t>
      </w:r>
    </w:p>
    <w:p w:rsidR="00EE0DF4" w:rsidRDefault="00083609">
      <w:pPr>
        <w:numPr>
          <w:ilvl w:val="1"/>
          <w:numId w:val="55"/>
        </w:numPr>
        <w:tabs>
          <w:tab w:val="clear" w:pos="1440"/>
          <w:tab w:val="num" w:pos="709"/>
        </w:tabs>
        <w:spacing w:line="264" w:lineRule="auto"/>
        <w:ind w:left="709" w:hanging="283"/>
        <w:jc w:val="both"/>
      </w:pPr>
      <w:r>
        <w:lastRenderedPageBreak/>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EE0DF4" w:rsidRDefault="00083609">
      <w:pPr>
        <w:numPr>
          <w:ilvl w:val="1"/>
          <w:numId w:val="55"/>
        </w:numPr>
        <w:tabs>
          <w:tab w:val="clear" w:pos="1440"/>
          <w:tab w:val="num" w:pos="709"/>
        </w:tabs>
        <w:spacing w:before="120" w:after="120"/>
        <w:ind w:left="709" w:hanging="284"/>
        <w:jc w:val="both"/>
      </w:pPr>
      <w:r>
        <w:t xml:space="preserve">postupuje podľa § 41 ods. 5 zákona o príspevku z EŠIF alebo </w:t>
      </w:r>
    </w:p>
    <w:p w:rsidR="00EE0DF4" w:rsidRDefault="00083609">
      <w:pPr>
        <w:numPr>
          <w:ilvl w:val="1"/>
          <w:numId w:val="55"/>
        </w:numPr>
        <w:tabs>
          <w:tab w:val="clear" w:pos="1440"/>
          <w:tab w:val="num" w:pos="709"/>
        </w:tabs>
        <w:spacing w:before="120" w:after="120"/>
        <w:ind w:left="709" w:hanging="284"/>
        <w:jc w:val="both"/>
      </w:pPr>
      <w:r>
        <w:t>postupuje podľa osobitného predpisu (napr. Občiansky súdny poriadok) a uplatní pohľadávku na vrátenie časti NFP uvedenej v </w:t>
      </w:r>
      <w:proofErr w:type="spellStart"/>
      <w:r>
        <w:t>ŽoV</w:t>
      </w:r>
      <w:proofErr w:type="spellEnd"/>
      <w:r>
        <w:t xml:space="preserve"> na príslušnom orgáne (napr.                na súde).</w:t>
      </w:r>
    </w:p>
    <w:p w:rsidR="00EE0DF4" w:rsidRDefault="00083609">
      <w:pPr>
        <w:numPr>
          <w:ilvl w:val="0"/>
          <w:numId w:val="13"/>
        </w:numPr>
        <w:tabs>
          <w:tab w:val="clear" w:pos="540"/>
          <w:tab w:val="num" w:pos="-4962"/>
        </w:tabs>
        <w:spacing w:before="120" w:after="120"/>
        <w:ind w:left="425" w:hanging="425"/>
        <w:jc w:val="both"/>
      </w:pPr>
      <w:r>
        <w:t>Prijímateľ je povinný v lehote do 8 dní od uskutočnenia vrátenia NFP alebo jeho časti, ktoré sa uskutočnilo formou platby na účet, resp. formou úpravy rozpočtu prostredníctvom rozpočtového opatrenia v Rozpočtovom informačnom systéme (ďalej aj „RIS“) oznámiť Poskytovateľovi toto vrátenie cez ITMS2014+.</w:t>
      </w:r>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prostredníctvom ITMS2014+ s uvedením jedinečného, systémom ITMS2014+ automaticky generovaného variabilného symbolu na účely jednoznačného určenia typu finančného </w:t>
      </w:r>
      <w:proofErr w:type="spellStart"/>
      <w:r>
        <w:t>vysporiadania</w:t>
      </w:r>
      <w:proofErr w:type="spellEnd"/>
      <w:r>
        <w:t xml:space="preserve"> NFP a automatického párovania prijatých platieb od Prijímateľa. </w:t>
      </w:r>
    </w:p>
    <w:p w:rsidR="00EE0DF4" w:rsidRDefault="00083609">
      <w:pPr>
        <w:numPr>
          <w:ilvl w:val="0"/>
          <w:numId w:val="13"/>
        </w:numPr>
        <w:tabs>
          <w:tab w:val="clear" w:pos="540"/>
          <w:tab w:val="num" w:pos="-4962"/>
        </w:tabs>
        <w:spacing w:before="120" w:after="120"/>
        <w:ind w:left="425" w:hanging="425"/>
        <w:jc w:val="both"/>
      </w:pPr>
      <w:r>
        <w:t xml:space="preserve">Ak Prijímateľ zistí Nezrovnalosť súvisiacu s Projektom, zaväzuje sa túto Nezrovnalosť bezodkladne oznámiť Poskytovateľovi a zároveň mu predložiť príslušné dokumenty týkajúce sa tejto Nezrovnalosti. Túto povinnosť má Prijímateľ do 31.08.2027. Uvedená doba sa predĺži ak nastanú skutočnosti uvedené v článku 140 všeobecného nariadenia, a to o čas trvania týchto skutočností. Prijímateľ je povinný pri </w:t>
      </w:r>
      <w:proofErr w:type="spellStart"/>
      <w:r>
        <w:t>vysporiadaní</w:t>
      </w:r>
      <w:proofErr w:type="spellEnd"/>
      <w:r>
        <w:t xml:space="preserve"> finančných vzťahov voči Poskytovateľovi použiť automaticky ITMS2014+ generovaný variabilný symbol pri uskutočnení úhrady vrátenia prostriedkov a zaregistrovať v ITMS2014+ oznámenie o </w:t>
      </w:r>
      <w:proofErr w:type="spellStart"/>
      <w:r>
        <w:t>vysporiadaní</w:t>
      </w:r>
      <w:proofErr w:type="spellEnd"/>
      <w:r>
        <w:t xml:space="preserve"> finančných vzťahov do 8 dní odo dňa uskutočnenia úhrady prostriedkov.</w:t>
      </w:r>
    </w:p>
    <w:p w:rsidR="00EE0DF4" w:rsidRDefault="00083609">
      <w:pPr>
        <w:numPr>
          <w:ilvl w:val="0"/>
          <w:numId w:val="13"/>
        </w:numPr>
        <w:tabs>
          <w:tab w:val="clear" w:pos="540"/>
          <w:tab w:val="num" w:pos="-4962"/>
        </w:tabs>
        <w:spacing w:before="120" w:after="120"/>
        <w:ind w:left="425" w:hanging="425"/>
        <w:jc w:val="both"/>
      </w:pPr>
      <w:r>
        <w:t>Ak Prijímateľ neuvedie správny automaticky ITMS2014+ generovaný variabilný symbol pri uskutočnení úhrady finančných prostriedkov alebo nezaregistruje správne v ITMS2014+ oznámenie o </w:t>
      </w:r>
      <w:proofErr w:type="spellStart"/>
      <w:r>
        <w:t>vysporiadaní</w:t>
      </w:r>
      <w:proofErr w:type="spellEnd"/>
      <w:r>
        <w:t xml:space="preserve"> finančných vzťahov do 8 dní odo dňa uskutočnenia úhrady prostriedkov, takto prijaté prostriedky na účet Certifikačného orgánu alebo platobnej jednotky sa posudzujú ako mylná platba a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 xml:space="preserve">v znení neskorších predpisov je povinný účtovať o skutočnostiach týkajúcich sa projektu na analytických účtoch v členení podľa jednotlivých projektov alebo v analytickej </w:t>
      </w:r>
      <w:r>
        <w:lastRenderedPageBreak/>
        <w:t>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Útvar následnej finančnej kontroly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príslušná Správa finančnej kontroly,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vnútornom audite a to najmä formou administratívnej kontroly kontrolovanej osoby a kontroly na mieste. V prípade, ak sú kontrolou vykonávanou formou administratívnej kontroly kontrolovanej osoby alebo kontroly              na mieste identifikované nedostatky, doručí Poskytovateľ Prijímateľovi návrh správy z kontroly, pričom Prijímateľ je oprávnený zaslať námietky k predmetnému návrhu v rozsahu stanovenom zákonom o finančnej kontrole a vnútornom audite. Po zohľadnení opodstatnených námietok (za predpokladu, že Prijímateľ zaslal námietky v stanovenej lehote) zasiela Poskytovateľ Prijímateľovi správu z kontroly. Poskytovateľ zašle 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lastRenderedPageBreak/>
        <w:t xml:space="preserve">Prijímateľ je povinný umožniť výkon kontroly/auditu zo strany oprávnených osôb                na výkon kontroly/auditu v zmysle príslušných právnych predpisov SR a právnych aktov EÚ, najmä zákona o príspevku z EŠIF, zákona o finančnej kontrole a vnútornom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vnútornom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vnútornom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lastRenderedPageBreak/>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t>predfinancovanie</w:t>
      </w:r>
      <w:proofErr w:type="spellEnd"/>
      <w:r>
        <w:t xml:space="preserv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 xml:space="preserve">strany za týmto účelom v rámci Prílohy č. </w:t>
      </w:r>
      <w:commentRangeStart w:id="34"/>
      <w:r>
        <w:rPr>
          <w:color w:val="000000"/>
        </w:rPr>
        <w:t>....</w:t>
      </w:r>
      <w:commentRangeEnd w:id="34"/>
      <w:r>
        <w:rPr>
          <w:rStyle w:val="Odkaznakomentr"/>
          <w:rFonts w:eastAsia="Calibri"/>
          <w:sz w:val="24"/>
        </w:rPr>
        <w:commentReference w:id="34"/>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35"/>
      <w:r>
        <w:rPr>
          <w:color w:val="000000"/>
        </w:rPr>
        <w:lastRenderedPageBreak/>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35"/>
      <w:r>
        <w:rPr>
          <w:rStyle w:val="Odkaznakomentr"/>
          <w:rFonts w:eastAsia="Calibri"/>
          <w:sz w:val="24"/>
        </w:rPr>
        <w:commentReference w:id="35"/>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headerReference w:type="first" r:id="rId9"/>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opecká Monika" w:date="2016-02-02T14:19:00Z" w:initials="KM">
    <w:p w:rsidR="00093072" w:rsidRPr="009A28F0" w:rsidRDefault="00093072" w:rsidP="00FE4884">
      <w:pPr>
        <w:pStyle w:val="Textkomentra"/>
      </w:pPr>
      <w:r>
        <w:rPr>
          <w:rStyle w:val="Odkaznakomentr"/>
        </w:rPr>
        <w:annotationRef/>
      </w:r>
      <w:r w:rsidRPr="00D828B9">
        <w:t>Pojmy ,,financujúca banka“ a ,,financujúca inštitúcia“ a súvisiace ustanovenia VZP RO zaradí do zmluvy o NFP za predpokladu, že má uzatvorené zmluvy o spolupráci s bankami, resp. zmluvy o spolupráci s leasingovými spoločnosťami</w:t>
      </w:r>
      <w:r>
        <w:t xml:space="preserve"> a súčasne v prípade, ak v rámci danej výzvy vôbec prichádza do úvahy využitie týchto inštitúcií na spolufinancovanie </w:t>
      </w:r>
    </w:p>
    <w:p w:rsidR="00093072" w:rsidRDefault="00093072" w:rsidP="00FE4884">
      <w:pPr>
        <w:pStyle w:val="Textkomentra"/>
      </w:pPr>
    </w:p>
  </w:comment>
  <w:comment w:id="1" w:author="Autor" w:date="2015-08-07T12:45:00Z" w:initials="A">
    <w:p w:rsidR="00093072" w:rsidRDefault="00093072">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2" w:author="Autor" w:date="2015-08-07T12:45:00Z" w:initials="A">
    <w:p w:rsidR="00093072" w:rsidRDefault="00093072">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3" w:author="Autor" w:date="2015-08-07T12:45:00Z" w:initials="A">
    <w:p w:rsidR="00093072" w:rsidRDefault="00093072">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date="2015-08-07T12:45:00Z" w:initials="A">
    <w:p w:rsidR="00093072" w:rsidRDefault="00093072">
      <w:pPr>
        <w:pStyle w:val="Textkomentra"/>
      </w:pPr>
      <w:r>
        <w:rPr>
          <w:rStyle w:val="Odkaznakomentr"/>
          <w:szCs w:val="16"/>
        </w:rPr>
        <w:annotationRef/>
      </w:r>
      <w:r>
        <w:t xml:space="preserve">Napríklad kópia pozvánky na posledné školenie spolu s kópiou prezenčnej listiny účastníkov. </w:t>
      </w:r>
    </w:p>
  </w:comment>
  <w:comment w:id="5" w:author="Autor" w:date="2015-08-07T12:45:00Z" w:initials="A">
    <w:p w:rsidR="00093072" w:rsidRDefault="00093072">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6" w:author="Autor" w:date="2015-08-07T12:45:00Z" w:initials="A">
    <w:p w:rsidR="00093072" w:rsidRDefault="00093072">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7" w:author="Autor" w:date="2015-08-07T12:45:00Z" w:initials="A">
    <w:p w:rsidR="00093072" w:rsidRDefault="00093072">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rsidR="00093072" w:rsidRDefault="00093072"/>
  </w:comment>
  <w:comment w:id="8" w:author="Autor" w:date="2015-08-07T12:45:00Z" w:initials="A">
    <w:p w:rsidR="00093072" w:rsidRDefault="00093072">
      <w:pPr>
        <w:pStyle w:val="Textkomentra"/>
      </w:pPr>
      <w:r>
        <w:rPr>
          <w:rStyle w:val="Odkaznakomentr"/>
          <w:szCs w:val="16"/>
        </w:rPr>
        <w:annotationRef/>
      </w:r>
      <w:r>
        <w:t>Doplní sa miera spolufinancovania zdrojov EÚ a ŠR</w:t>
      </w:r>
    </w:p>
  </w:comment>
  <w:comment w:id="9" w:author="Autor" w:date="2015-08-07T12:45:00Z" w:initials="A">
    <w:p w:rsidR="00093072" w:rsidRDefault="00093072">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11" w:author="Autor" w:date="2015-08-07T12:45:00Z" w:initials="A">
    <w:p w:rsidR="00093072" w:rsidRDefault="00093072">
      <w:pPr>
        <w:pStyle w:val="Textkomentra"/>
      </w:pPr>
      <w:r>
        <w:rPr>
          <w:rStyle w:val="Odkaznakomentr"/>
          <w:szCs w:val="16"/>
        </w:rPr>
        <w:annotationRef/>
      </w:r>
      <w:r>
        <w:t>Miera spolufinancovania prijímateľa v zmysle Stratégie financovania na PO 2014 - 2020</w:t>
      </w:r>
    </w:p>
  </w:comment>
  <w:comment w:id="10" w:author="Autor" w:date="2015-08-07T12:45:00Z" w:initials="A">
    <w:p w:rsidR="00093072" w:rsidRDefault="00093072">
      <w:pPr>
        <w:pStyle w:val="Textkomentra"/>
      </w:pPr>
      <w:r>
        <w:rPr>
          <w:rStyle w:val="Odkaznakomentr"/>
          <w:szCs w:val="16"/>
        </w:rPr>
        <w:annotationRef/>
      </w:r>
      <w:r>
        <w:t>Vypustí sa v prípade 100% spolufinancovania projektu z NFP</w:t>
      </w:r>
    </w:p>
  </w:comment>
  <w:comment w:id="12" w:author="Autor" w:date="2015-08-07T12:45:00Z" w:initials="A">
    <w:p w:rsidR="00093072" w:rsidRDefault="00093072">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3" w:author="Autor" w:date="2015-08-07T12:45:00Z" w:initials="A">
    <w:p w:rsidR="00093072" w:rsidRDefault="00093072">
      <w:pPr>
        <w:pStyle w:val="Textkomentra"/>
      </w:pPr>
      <w:r>
        <w:rPr>
          <w:rStyle w:val="Odkaznakomentr"/>
          <w:szCs w:val="16"/>
        </w:rPr>
        <w:annotationRef/>
      </w:r>
      <w:r>
        <w:t xml:space="preserve">Celý odsek sa vymaže v prípade, ak sa v Projekte nerealizuje verejné obstarávanie alebo iné obstarávanie. </w:t>
      </w:r>
    </w:p>
  </w:comment>
  <w:comment w:id="14" w:author="Autor" w:date="2015-08-07T12:45:00Z" w:initials="A">
    <w:p w:rsidR="00093072" w:rsidRDefault="00093072">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15" w:author="Autor" w:date="2015-08-07T12:45:00Z" w:initials="A">
    <w:p w:rsidR="00093072" w:rsidRDefault="00093072">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6" w:author="Autor" w:date="2015-08-07T12:45:00Z" w:initials="A">
    <w:p w:rsidR="00093072" w:rsidRDefault="00093072">
      <w:pPr>
        <w:pStyle w:val="Textkomentra"/>
      </w:pPr>
      <w:r>
        <w:rPr>
          <w:rStyle w:val="Odkaznakomentr"/>
          <w:szCs w:val="16"/>
        </w:rPr>
        <w:annotationRef/>
      </w:r>
      <w:r>
        <w:t>Uplatní sa iba na projekty, v ktorých je cieľ projektu definovaný príslušnými MU</w:t>
      </w:r>
    </w:p>
  </w:comment>
  <w:comment w:id="17" w:author="Autor" w:date="2015-08-07T12:45:00Z" w:initials="A">
    <w:p w:rsidR="00093072" w:rsidRDefault="00093072">
      <w:pPr>
        <w:pStyle w:val="Textkomentra"/>
      </w:pPr>
      <w:r>
        <w:rPr>
          <w:rStyle w:val="Odkaznakomentr"/>
          <w:szCs w:val="16"/>
        </w:rPr>
        <w:annotationRef/>
      </w:r>
      <w:r>
        <w:t>Uplatní sa iba na projekty, v ktorých je cieľ projektu definovaný príslušnými MU</w:t>
      </w:r>
    </w:p>
  </w:comment>
  <w:comment w:id="18" w:author="Autor" w:date="2015-08-07T12:45:00Z" w:initials="A">
    <w:p w:rsidR="00093072" w:rsidRDefault="00093072">
      <w:pPr>
        <w:pStyle w:val="Textkomentra"/>
      </w:pPr>
      <w:r>
        <w:rPr>
          <w:rStyle w:val="Odkaznakomentr"/>
          <w:szCs w:val="16"/>
        </w:rPr>
        <w:annotationRef/>
      </w:r>
      <w:r>
        <w:t xml:space="preserve">Uplatní sa iba na projekty, v ktorých sa realizuje VO, v ostatných prípadoch sa vypustí.  </w:t>
      </w:r>
    </w:p>
  </w:comment>
  <w:comment w:id="19" w:author="Autor" w:date="2015-08-07T12:45:00Z" w:initials="A">
    <w:p w:rsidR="00093072" w:rsidRDefault="00093072">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20" w:author="Autor" w:date="2015-08-07T12:45:00Z" w:initials="A">
    <w:p w:rsidR="00093072" w:rsidRDefault="00093072">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21" w:author="Autor" w:date="2015-08-07T12:45:00Z" w:initials="A">
    <w:p w:rsidR="00093072" w:rsidRDefault="00093072">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22" w:author="Autor" w:date="2015-08-07T12:45:00Z" w:initials="A">
    <w:p w:rsidR="00093072" w:rsidRDefault="00093072">
      <w:pPr>
        <w:pStyle w:val="Textkomentra"/>
      </w:pPr>
      <w:r>
        <w:rPr>
          <w:rStyle w:val="Odkaznakomentr"/>
          <w:szCs w:val="16"/>
        </w:rPr>
        <w:annotationRef/>
      </w:r>
      <w:r>
        <w:t>Ide o prípady upravené v Systéme riadenia EŠIF – kapitola 3.3.7.2 ods.7 a to predovšetkým spolupráca pri kontrole VO s ÚVO, PMÚ, OČTK</w:t>
      </w:r>
    </w:p>
  </w:comment>
  <w:comment w:id="23" w:author="Autor" w:date="2015-08-07T12:45:00Z" w:initials="A">
    <w:p w:rsidR="00093072" w:rsidRDefault="00093072">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4" w:author="Autor" w:date="2015-08-07T12:45:00Z" w:initials="A">
    <w:p w:rsidR="00093072" w:rsidRDefault="00093072">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5" w:author="Autor" w:date="2015-08-07T12:45:00Z" w:initials="A">
    <w:p w:rsidR="00093072" w:rsidRDefault="00093072">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6" w:author="Autor" w:date="2015-08-07T12:45:00Z" w:initials="A">
    <w:p w:rsidR="00093072" w:rsidRDefault="00093072">
      <w:pPr>
        <w:pStyle w:val="Textkomentra"/>
      </w:pPr>
      <w:r>
        <w:rPr>
          <w:rStyle w:val="Odkaznakomentr"/>
          <w:szCs w:val="16"/>
        </w:rPr>
        <w:annotationRef/>
      </w:r>
      <w:r>
        <w:t>Napríklad zák. č. 278/1993 Z. z. o správe majetku štátu</w:t>
      </w:r>
    </w:p>
  </w:comment>
  <w:comment w:id="27" w:author="Autor" w:date="2015-08-07T12:45:00Z" w:initials="A">
    <w:p w:rsidR="00093072" w:rsidRDefault="00093072">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8" w:author="Autor" w:date="2015-08-07T12:45:00Z" w:initials="A">
    <w:p w:rsidR="00093072" w:rsidRDefault="00093072">
      <w:pPr>
        <w:pStyle w:val="Textkomentra"/>
      </w:pPr>
      <w:r>
        <w:rPr>
          <w:rStyle w:val="Odkaznakomentr"/>
          <w:szCs w:val="16"/>
        </w:rPr>
        <w:annotationRef/>
      </w:r>
      <w:r>
        <w:t xml:space="preserve">Uvedené ustanovenie môže byť zúžené v nadväznosti na uznesenie vlády č. 171 zo dňa  09.03.2011. </w:t>
      </w:r>
    </w:p>
  </w:comment>
  <w:comment w:id="29" w:author="Autor" w:date="2015-08-07T12:45:00Z" w:initials="A">
    <w:p w:rsidR="00093072" w:rsidRDefault="00093072">
      <w:pPr>
        <w:pStyle w:val="Textkomentra"/>
      </w:pPr>
      <w:r>
        <w:rPr>
          <w:rStyle w:val="Odkaznakomentr"/>
          <w:szCs w:val="16"/>
        </w:rPr>
        <w:annotationRef/>
      </w:r>
      <w:r>
        <w:t>Upozorňuje sa na prepojenie s článkom 5 ods. 1 VP</w:t>
      </w:r>
    </w:p>
  </w:comment>
  <w:comment w:id="31" w:author="Autor" w:date="2015-08-07T12:45:00Z" w:initials="A">
    <w:p w:rsidR="00093072" w:rsidRDefault="00093072">
      <w:pPr>
        <w:pStyle w:val="Textkomentra"/>
      </w:pPr>
      <w:r>
        <w:rPr>
          <w:rStyle w:val="Odkaznakomentr"/>
          <w:szCs w:val="16"/>
        </w:rPr>
        <w:annotationRef/>
      </w:r>
      <w:r>
        <w:t xml:space="preserve">Poukazuje sa na súvisiace ustanovenie v čl. 9 ods. 7 VP. </w:t>
      </w:r>
    </w:p>
  </w:comment>
  <w:comment w:id="32" w:author="Autor" w:date="2015-08-07T12:45:00Z" w:initials="A">
    <w:p w:rsidR="00093072" w:rsidRDefault="00093072">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33" w:author="Autor" w:date="2015-08-07T12:45:00Z" w:initials="A">
    <w:p w:rsidR="00093072" w:rsidRDefault="00093072">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34" w:author="Autor" w:date="2015-08-07T12:45:00Z" w:initials="A">
    <w:p w:rsidR="00093072" w:rsidRDefault="00093072">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35" w:author="Autor" w:date="2015-08-07T12:45:00Z" w:initials="A">
    <w:p w:rsidR="00093072" w:rsidRDefault="00093072">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072" w:rsidRDefault="00093072">
      <w:r>
        <w:separator/>
      </w:r>
    </w:p>
  </w:endnote>
  <w:endnote w:type="continuationSeparator" w:id="0">
    <w:p w:rsidR="00093072" w:rsidRDefault="0009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072" w:rsidRDefault="00093072">
      <w:r>
        <w:separator/>
      </w:r>
    </w:p>
  </w:footnote>
  <w:footnote w:type="continuationSeparator" w:id="0">
    <w:p w:rsidR="00093072" w:rsidRDefault="00093072">
      <w:r>
        <w:continuationSeparator/>
      </w:r>
    </w:p>
  </w:footnote>
  <w:footnote w:id="1">
    <w:p w:rsidR="00093072" w:rsidRDefault="00093072">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093072" w:rsidRDefault="00093072">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rsidR="00093072" w:rsidRDefault="00093072">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072" w:rsidRDefault="00093072"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093072" w:rsidRDefault="0009307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1">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3">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4">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7">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8">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2">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3">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7">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8">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3">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39"/>
  </w:num>
  <w:num w:numId="2">
    <w:abstractNumId w:val="3"/>
  </w:num>
  <w:num w:numId="3">
    <w:abstractNumId w:val="34"/>
  </w:num>
  <w:num w:numId="4">
    <w:abstractNumId w:val="30"/>
  </w:num>
  <w:num w:numId="5">
    <w:abstractNumId w:val="44"/>
  </w:num>
  <w:num w:numId="6">
    <w:abstractNumId w:val="31"/>
  </w:num>
  <w:num w:numId="7">
    <w:abstractNumId w:val="2"/>
  </w:num>
  <w:num w:numId="8">
    <w:abstractNumId w:val="40"/>
  </w:num>
  <w:num w:numId="9">
    <w:abstractNumId w:val="38"/>
  </w:num>
  <w:num w:numId="10">
    <w:abstractNumId w:val="17"/>
  </w:num>
  <w:num w:numId="11">
    <w:abstractNumId w:val="22"/>
  </w:num>
  <w:num w:numId="12">
    <w:abstractNumId w:val="11"/>
  </w:num>
  <w:num w:numId="13">
    <w:abstractNumId w:val="1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7"/>
  </w:num>
  <w:num w:numId="19">
    <w:abstractNumId w:val="46"/>
  </w:num>
  <w:num w:numId="20">
    <w:abstractNumId w:val="23"/>
  </w:num>
  <w:num w:numId="21">
    <w:abstractNumId w:val="6"/>
  </w:num>
  <w:num w:numId="22">
    <w:abstractNumId w:val="45"/>
  </w:num>
  <w:num w:numId="23">
    <w:abstractNumId w:val="36"/>
  </w:num>
  <w:num w:numId="24">
    <w:abstractNumId w:val="51"/>
  </w:num>
  <w:num w:numId="25">
    <w:abstractNumId w:val="20"/>
  </w:num>
  <w:num w:numId="26">
    <w:abstractNumId w:val="28"/>
  </w:num>
  <w:num w:numId="27">
    <w:abstractNumId w:val="26"/>
  </w:num>
  <w:num w:numId="28">
    <w:abstractNumId w:val="13"/>
  </w:num>
  <w:num w:numId="29">
    <w:abstractNumId w:val="29"/>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0"/>
  </w:num>
  <w:num w:numId="38">
    <w:abstractNumId w:val="14"/>
  </w:num>
  <w:num w:numId="39">
    <w:abstractNumId w:val="42"/>
  </w:num>
  <w:num w:numId="40">
    <w:abstractNumId w:val="54"/>
  </w:num>
  <w:num w:numId="41">
    <w:abstractNumId w:val="48"/>
  </w:num>
  <w:num w:numId="42">
    <w:abstractNumId w:val="16"/>
  </w:num>
  <w:num w:numId="43">
    <w:abstractNumId w:val="53"/>
  </w:num>
  <w:num w:numId="44">
    <w:abstractNumId w:val="18"/>
  </w:num>
  <w:num w:numId="45">
    <w:abstractNumId w:val="8"/>
  </w:num>
  <w:num w:numId="46">
    <w:abstractNumId w:val="52"/>
  </w:num>
  <w:num w:numId="47">
    <w:abstractNumId w:val="21"/>
  </w:num>
  <w:num w:numId="48">
    <w:abstractNumId w:val="27"/>
  </w:num>
  <w:num w:numId="49">
    <w:abstractNumId w:val="15"/>
  </w:num>
  <w:num w:numId="50">
    <w:abstractNumId w:val="32"/>
  </w:num>
  <w:num w:numId="51">
    <w:abstractNumId w:val="37"/>
  </w:num>
  <w:num w:numId="52">
    <w:abstractNumId w:val="25"/>
  </w:num>
  <w:num w:numId="53">
    <w:abstractNumId w:val="19"/>
  </w:num>
  <w:num w:numId="54">
    <w:abstractNumId w:val="41"/>
  </w:num>
  <w:num w:numId="55">
    <w:abstractNumId w:val="49"/>
  </w:num>
  <w:num w:numId="56">
    <w:abstractNumId w:val="12"/>
  </w:num>
  <w:num w:numId="57">
    <w:abstractNumId w:val="43"/>
  </w:num>
  <w:num w:numId="58">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1620F"/>
    <w:rsid w:val="00083609"/>
    <w:rsid w:val="00093072"/>
    <w:rsid w:val="00173812"/>
    <w:rsid w:val="00330769"/>
    <w:rsid w:val="00403938"/>
    <w:rsid w:val="005874A3"/>
    <w:rsid w:val="00704A05"/>
    <w:rsid w:val="007801A8"/>
    <w:rsid w:val="00797069"/>
    <w:rsid w:val="00901B52"/>
    <w:rsid w:val="00EE0DF4"/>
    <w:rsid w:val="00EF5E94"/>
    <w:rsid w:val="00F345A1"/>
    <w:rsid w:val="00F46A4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48</Pages>
  <Words>23655</Words>
  <Characters>134834</Characters>
  <Application>Microsoft Office Word</Application>
  <DocSecurity>0</DocSecurity>
  <Lines>1123</Lines>
  <Paragraphs>316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158173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cp:lastPrinted>2015-08-24T13:43:00Z</cp:lastPrinted>
  <dcterms:created xsi:type="dcterms:W3CDTF">2016-02-02T15:16:00Z</dcterms:created>
  <dcterms:modified xsi:type="dcterms:W3CDTF">2016-02-02T15:27:00Z</dcterms:modified>
</cp:coreProperties>
</file>