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991224" w:rsidTr="00620061">
        <w:tc>
          <w:tcPr>
            <w:tcW w:w="14142" w:type="dxa"/>
            <w:shd w:val="clear" w:color="auto" w:fill="F79646" w:themeFill="accent6"/>
          </w:tcPr>
          <w:p w:rsidR="005E51A4" w:rsidRPr="00991224" w:rsidRDefault="005E51A4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inorHAnsi" w:eastAsiaTheme="majorEastAsia" w:hAnsiTheme="minorHAnsi"/>
                <w:spacing w:val="5"/>
                <w:kern w:val="28"/>
                <w:sz w:val="20"/>
                <w:szCs w:val="20"/>
              </w:rPr>
            </w:pPr>
            <w:bookmarkStart w:id="0" w:name="_GoBack"/>
            <w:bookmarkEnd w:id="0"/>
            <w:r w:rsidRPr="00991224">
              <w:rPr>
                <w:rFonts w:asciiTheme="minorHAnsi" w:eastAsiaTheme="majorEastAsia" w:hAnsiTheme="minorHAnsi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991224">
              <w:rPr>
                <w:rFonts w:asciiTheme="minorHAnsi" w:eastAsiaTheme="majorEastAsia" w:hAnsiTheme="min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5E51A4" w:rsidRPr="00991224" w:rsidRDefault="005E51A4" w:rsidP="005E51A4">
      <w:pPr>
        <w:rPr>
          <w:rFonts w:asciiTheme="minorHAnsi" w:hAnsiTheme="minorHAnsi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991224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:rsidR="00854A2E" w:rsidRPr="00991224" w:rsidRDefault="00854A2E" w:rsidP="005E51A4">
            <w:pPr>
              <w:rPr>
                <w:rFonts w:asciiTheme="minorHAnsi" w:hAnsiTheme="minorHAnsi"/>
              </w:rPr>
            </w:pPr>
            <w:r w:rsidRPr="00991224">
              <w:rPr>
                <w:rFonts w:asciiTheme="minorHAnsi" w:hAnsiTheme="minorHAnsi"/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854A2E" w:rsidRPr="00991224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54A2E" w:rsidRPr="00991224" w:rsidRDefault="00854A2E" w:rsidP="005E51A4">
            <w:pPr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Merateľný ukazovateľ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2"/>
            </w:r>
            <w:r w:rsidRPr="00991224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Relevancia merateľného ukazovateľa k HP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</w:p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Príznak rizika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Merná jednotka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</w:p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Plánovaný stav MÚ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t xml:space="preserve"> 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</w:p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Skutočný stav MÚ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t xml:space="preserve"> 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Miera plnenia MÚ</w:t>
            </w:r>
          </w:p>
          <w:p w:rsidR="00854A2E" w:rsidRPr="00991224" w:rsidRDefault="00854A2E" w:rsidP="005E51A4">
            <w:pPr>
              <w:jc w:val="center"/>
              <w:rPr>
                <w:rFonts w:asciiTheme="minorHAnsi" w:hAnsiTheme="minorHAnsi"/>
              </w:rPr>
            </w:pPr>
            <w:r w:rsidRPr="00991224">
              <w:rPr>
                <w:rFonts w:asciiTheme="minorHAnsi" w:hAnsiTheme="minorHAnsi"/>
                <w:b/>
              </w:rPr>
              <w:t>(v %)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8"/>
            </w:r>
          </w:p>
        </w:tc>
      </w:tr>
      <w:tr w:rsidR="00854A2E" w:rsidRPr="00991224" w:rsidTr="00854A2E">
        <w:tc>
          <w:tcPr>
            <w:tcW w:w="1304" w:type="dxa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706" w:type="dxa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1417" w:type="dxa"/>
          </w:tcPr>
          <w:p w:rsidR="00854A2E" w:rsidRPr="00991224" w:rsidRDefault="00854A2E" w:rsidP="008E3F90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</w:t>
            </w:r>
            <w:r w:rsidR="008E3F90" w:rsidRPr="00991224">
              <w:rPr>
                <w:rFonts w:asciiTheme="minorHAnsi" w:hAnsiTheme="minorHAnsi"/>
                <w:b/>
              </w:rPr>
              <w:t>4</w:t>
            </w:r>
            <w:r w:rsidRPr="00991224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991224" w:rsidRDefault="00854A2E" w:rsidP="008E3F90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</w:t>
            </w:r>
            <w:r w:rsidR="008E3F90" w:rsidRPr="00991224">
              <w:rPr>
                <w:rFonts w:asciiTheme="minorHAnsi" w:hAnsiTheme="minorHAnsi"/>
                <w:b/>
              </w:rPr>
              <w:t>5</w:t>
            </w:r>
            <w:r w:rsidRPr="00991224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991224" w:rsidRDefault="00854A2E" w:rsidP="008E3F90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</w:t>
            </w:r>
            <w:r w:rsidR="008E3F90" w:rsidRPr="00991224">
              <w:rPr>
                <w:rFonts w:asciiTheme="minorHAnsi" w:hAnsiTheme="minorHAnsi"/>
                <w:b/>
              </w:rPr>
              <w:t>6</w:t>
            </w:r>
            <w:r w:rsidRPr="00991224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991224" w:rsidRDefault="00854A2E" w:rsidP="008E3F90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</w:t>
            </w:r>
            <w:r w:rsidR="008E3F90" w:rsidRPr="00991224">
              <w:rPr>
                <w:rFonts w:asciiTheme="minorHAnsi" w:hAnsiTheme="minorHAnsi"/>
                <w:b/>
              </w:rPr>
              <w:t>7</w:t>
            </w:r>
            <w:r w:rsidRPr="00991224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2835" w:type="dxa"/>
          </w:tcPr>
          <w:p w:rsidR="00854A2E" w:rsidRPr="00991224" w:rsidRDefault="00854A2E" w:rsidP="008E3F90">
            <w:pPr>
              <w:jc w:val="center"/>
              <w:rPr>
                <w:rFonts w:asciiTheme="minorHAnsi" w:hAnsiTheme="minorHAnsi"/>
              </w:rPr>
            </w:pPr>
            <w:r w:rsidRPr="00991224">
              <w:rPr>
                <w:rFonts w:asciiTheme="minorHAnsi" w:hAnsiTheme="minorHAnsi"/>
                <w:b/>
              </w:rPr>
              <w:t>(</w:t>
            </w:r>
            <w:r w:rsidR="008E3F90" w:rsidRPr="00991224">
              <w:rPr>
                <w:rFonts w:asciiTheme="minorHAnsi" w:hAnsiTheme="minorHAnsi"/>
                <w:b/>
              </w:rPr>
              <w:t>8</w:t>
            </w:r>
            <w:r w:rsidRPr="00991224">
              <w:rPr>
                <w:rFonts w:asciiTheme="minorHAnsi" w:hAnsiTheme="minorHAnsi"/>
                <w:b/>
              </w:rPr>
              <w:t>)=(</w:t>
            </w:r>
            <w:r w:rsidR="008E3F90" w:rsidRPr="00991224">
              <w:rPr>
                <w:rFonts w:asciiTheme="minorHAnsi" w:hAnsiTheme="minorHAnsi"/>
                <w:b/>
              </w:rPr>
              <w:t>7</w:t>
            </w:r>
            <w:r w:rsidRPr="00991224">
              <w:rPr>
                <w:rFonts w:asciiTheme="minorHAnsi" w:hAnsiTheme="minorHAnsi"/>
                <w:b/>
              </w:rPr>
              <w:t>)/(</w:t>
            </w:r>
            <w:r w:rsidR="008E3F90" w:rsidRPr="00991224">
              <w:rPr>
                <w:rFonts w:asciiTheme="minorHAnsi" w:hAnsiTheme="minorHAnsi"/>
                <w:b/>
              </w:rPr>
              <w:t>6</w:t>
            </w:r>
            <w:r w:rsidRPr="00991224">
              <w:rPr>
                <w:rFonts w:asciiTheme="minorHAnsi" w:hAnsiTheme="minorHAnsi"/>
                <w:b/>
              </w:rPr>
              <w:t>)</w:t>
            </w:r>
          </w:p>
        </w:tc>
      </w:tr>
      <w:tr w:rsidR="00854A2E" w:rsidRPr="00991224" w:rsidTr="00854A2E">
        <w:tc>
          <w:tcPr>
            <w:tcW w:w="1304" w:type="dxa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</w:rPr>
            </w:pPr>
            <w:r w:rsidRPr="00991224">
              <w:rPr>
                <w:rFonts w:asciiTheme="minorHAnsi" w:hAnsiTheme="minorHAnsi"/>
              </w:rPr>
              <w:t>Aktivita n</w:t>
            </w:r>
            <w:r w:rsidRPr="00991224">
              <w:rPr>
                <w:rFonts w:asciiTheme="minorHAnsi" w:hAnsiTheme="minorHAnsi"/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991224" w:rsidRDefault="00854A2E" w:rsidP="005E51A4">
            <w:pPr>
              <w:rPr>
                <w:rFonts w:asciiTheme="minorHAnsi" w:hAnsiTheme="minorHAnsi"/>
              </w:rPr>
            </w:pPr>
          </w:p>
        </w:tc>
        <w:tc>
          <w:tcPr>
            <w:tcW w:w="1706" w:type="dxa"/>
          </w:tcPr>
          <w:p w:rsidR="00854A2E" w:rsidRPr="00991224" w:rsidRDefault="00854A2E" w:rsidP="005E51A4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854A2E" w:rsidRPr="00991224" w:rsidRDefault="00854A2E" w:rsidP="005E51A4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854A2E" w:rsidRPr="00991224" w:rsidRDefault="00854A2E" w:rsidP="005E51A4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854A2E" w:rsidRPr="00991224" w:rsidRDefault="00854A2E" w:rsidP="005E51A4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854A2E" w:rsidRPr="00991224" w:rsidRDefault="00854A2E" w:rsidP="005E51A4">
            <w:pPr>
              <w:rPr>
                <w:rFonts w:asciiTheme="minorHAnsi" w:hAnsiTheme="minorHAnsi"/>
              </w:rPr>
            </w:pPr>
          </w:p>
        </w:tc>
        <w:tc>
          <w:tcPr>
            <w:tcW w:w="2835" w:type="dxa"/>
          </w:tcPr>
          <w:p w:rsidR="00854A2E" w:rsidRPr="00991224" w:rsidRDefault="00854A2E" w:rsidP="005E51A4">
            <w:pPr>
              <w:rPr>
                <w:rFonts w:asciiTheme="minorHAnsi" w:hAnsiTheme="minorHAnsi"/>
              </w:rPr>
            </w:pPr>
          </w:p>
        </w:tc>
      </w:tr>
      <w:tr w:rsidR="00854A2E" w:rsidRPr="00991224" w:rsidTr="00854A2E">
        <w:tc>
          <w:tcPr>
            <w:tcW w:w="1304" w:type="dxa"/>
          </w:tcPr>
          <w:p w:rsidR="00854A2E" w:rsidRPr="00991224" w:rsidRDefault="00854A2E" w:rsidP="005E51A4">
            <w:pPr>
              <w:jc w:val="center"/>
              <w:rPr>
                <w:rFonts w:asciiTheme="minorHAnsi" w:hAnsiTheme="minorHAnsi"/>
              </w:rPr>
            </w:pPr>
            <w:r w:rsidRPr="00991224">
              <w:rPr>
                <w:rFonts w:asciiTheme="minorHAnsi" w:hAnsiTheme="minorHAnsi"/>
              </w:rPr>
              <w:t>Poznámky k aktivite n</w:t>
            </w:r>
            <w:r w:rsidRPr="00991224">
              <w:rPr>
                <w:rFonts w:asciiTheme="minorHAnsi" w:hAnsiTheme="minorHAnsi"/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991224" w:rsidRDefault="00854A2E" w:rsidP="005E51A4">
            <w:pPr>
              <w:rPr>
                <w:rFonts w:asciiTheme="minorHAnsi" w:hAnsiTheme="minorHAnsi"/>
              </w:rPr>
            </w:pPr>
          </w:p>
        </w:tc>
      </w:tr>
    </w:tbl>
    <w:p w:rsidR="00D94B08" w:rsidRPr="00991224" w:rsidRDefault="00D94B08" w:rsidP="005E51A4">
      <w:pPr>
        <w:rPr>
          <w:rFonts w:asciiTheme="minorHAnsi" w:hAnsiTheme="minorHAnsi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16"/>
        <w:gridCol w:w="2397"/>
        <w:gridCol w:w="1843"/>
        <w:gridCol w:w="1985"/>
        <w:gridCol w:w="1842"/>
        <w:gridCol w:w="1985"/>
        <w:gridCol w:w="2410"/>
      </w:tblGrid>
      <w:tr w:rsidR="00F17B69" w:rsidRPr="00991224" w:rsidTr="00F17B69">
        <w:tc>
          <w:tcPr>
            <w:tcW w:w="14142" w:type="dxa"/>
            <w:gridSpan w:val="7"/>
            <w:shd w:val="clear" w:color="auto" w:fill="FABF8F" w:themeFill="accent6" w:themeFillTint="99"/>
          </w:tcPr>
          <w:p w:rsidR="00F17B69" w:rsidRPr="00991224" w:rsidRDefault="00F17B69" w:rsidP="005E51A4">
            <w:pPr>
              <w:rPr>
                <w:rFonts w:asciiTheme="minorHAnsi" w:hAnsiTheme="minorHAnsi"/>
              </w:rPr>
            </w:pPr>
            <w:r w:rsidRPr="00991224">
              <w:rPr>
                <w:rFonts w:asciiTheme="minorHAnsi" w:hAnsiTheme="minorHAnsi"/>
                <w:b/>
                <w:sz w:val="28"/>
              </w:rPr>
              <w:t xml:space="preserve">     2. Kumulatívne naplnenie merateľných ukazovateľov</w:t>
            </w:r>
            <w:r w:rsidRPr="00991224">
              <w:rPr>
                <w:rFonts w:asciiTheme="minorHAnsi" w:hAnsiTheme="minorHAnsi"/>
                <w:b/>
                <w:sz w:val="28"/>
                <w:vertAlign w:val="superscript"/>
              </w:rPr>
              <w:footnoteReference w:id="11"/>
            </w:r>
          </w:p>
        </w:tc>
      </w:tr>
      <w:tr w:rsidR="00F17B69" w:rsidRPr="00991224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F17B69" w:rsidRPr="00991224" w:rsidRDefault="00F17B69" w:rsidP="005E51A4">
            <w:pPr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lastRenderedPageBreak/>
              <w:t>Merateľný ukazovateľ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F17B69" w:rsidRPr="00991224" w:rsidRDefault="00F17B69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Relevancia merateľného ukazovateľa k HP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17B69" w:rsidRPr="00991224" w:rsidRDefault="00F17B69" w:rsidP="005E51A4">
            <w:pPr>
              <w:jc w:val="center"/>
              <w:rPr>
                <w:rFonts w:asciiTheme="minorHAnsi" w:hAnsiTheme="minorHAnsi"/>
                <w:b/>
              </w:rPr>
            </w:pPr>
          </w:p>
          <w:p w:rsidR="00F17B69" w:rsidRPr="00991224" w:rsidRDefault="00F17B69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Príznak rizika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991224" w:rsidRDefault="00F17B69" w:rsidP="005E51A4">
            <w:pPr>
              <w:jc w:val="center"/>
              <w:rPr>
                <w:rFonts w:asciiTheme="minorHAnsi" w:hAnsiTheme="minorHAnsi"/>
                <w:b/>
              </w:rPr>
            </w:pPr>
          </w:p>
          <w:p w:rsidR="00F17B69" w:rsidRPr="00991224" w:rsidRDefault="00F17B69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Merná jednotka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7B69" w:rsidRPr="00991224" w:rsidRDefault="00F17B69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Plánovaný stav MÚ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t xml:space="preserve"> 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991224" w:rsidRDefault="00F17B69" w:rsidP="005E51A4">
            <w:pPr>
              <w:jc w:val="center"/>
              <w:rPr>
                <w:rFonts w:asciiTheme="minorHAnsi" w:hAnsiTheme="minorHAnsi"/>
                <w:b/>
              </w:rPr>
            </w:pPr>
          </w:p>
          <w:p w:rsidR="00F17B69" w:rsidRPr="00991224" w:rsidRDefault="00F17B69" w:rsidP="005E51A4">
            <w:pPr>
              <w:jc w:val="center"/>
              <w:rPr>
                <w:rFonts w:asciiTheme="minorHAnsi" w:hAnsiTheme="minorHAnsi"/>
              </w:rPr>
            </w:pPr>
            <w:r w:rsidRPr="00991224">
              <w:rPr>
                <w:rFonts w:asciiTheme="minorHAnsi" w:hAnsiTheme="minorHAnsi"/>
                <w:b/>
              </w:rPr>
              <w:t>Skutočný stav MÚ</w:t>
            </w:r>
            <w:r w:rsidRPr="00991224">
              <w:rPr>
                <w:rStyle w:val="Odkaznapoznmkupodiarou"/>
                <w:rFonts w:asciiTheme="minorHAnsi" w:hAnsiTheme="minorHAnsi"/>
                <w:b/>
              </w:rPr>
              <w:footnoteReference w:id="17"/>
            </w:r>
            <w:r w:rsidRPr="00991224">
              <w:rPr>
                <w:rFonts w:asciiTheme="minorHAnsi" w:hAnsiTheme="minorHAnsi"/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17B69" w:rsidRPr="00991224" w:rsidRDefault="00F17B69" w:rsidP="005E51A4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Miera plnenia MÚ</w:t>
            </w:r>
          </w:p>
          <w:p w:rsidR="00F17B69" w:rsidRPr="00991224" w:rsidRDefault="00F17B69" w:rsidP="005E51A4">
            <w:pPr>
              <w:jc w:val="center"/>
              <w:rPr>
                <w:rFonts w:asciiTheme="minorHAnsi" w:hAnsiTheme="minorHAnsi"/>
              </w:rPr>
            </w:pPr>
            <w:r w:rsidRPr="00991224">
              <w:rPr>
                <w:rFonts w:asciiTheme="minorHAnsi" w:hAnsiTheme="minorHAnsi"/>
                <w:b/>
              </w:rPr>
              <w:t>(v %)</w:t>
            </w:r>
            <w:r w:rsidRPr="00991224">
              <w:rPr>
                <w:rFonts w:asciiTheme="minorHAnsi" w:hAnsiTheme="minorHAnsi"/>
                <w:b/>
                <w:vertAlign w:val="superscript"/>
              </w:rPr>
              <w:footnoteReference w:id="18"/>
            </w:r>
          </w:p>
        </w:tc>
      </w:tr>
      <w:tr w:rsidR="00A749A1" w:rsidRPr="00991224" w:rsidTr="00307063">
        <w:tc>
          <w:tcPr>
            <w:tcW w:w="1680" w:type="dxa"/>
            <w:vAlign w:val="center"/>
          </w:tcPr>
          <w:p w:rsidR="00A749A1" w:rsidRPr="00991224" w:rsidRDefault="00A749A1" w:rsidP="007C2043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991224" w:rsidRDefault="00702F16" w:rsidP="007C2043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Pr="00991224" w:rsidRDefault="00A749A1" w:rsidP="007C2043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Pr="00991224" w:rsidRDefault="00A749A1" w:rsidP="007C2043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991224" w:rsidRDefault="00A749A1" w:rsidP="007C2043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Pr="00991224" w:rsidRDefault="00A749A1" w:rsidP="007C2043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991224" w:rsidRDefault="00A749A1" w:rsidP="007C2043">
            <w:pPr>
              <w:jc w:val="center"/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</w:rPr>
              <w:t>(7)=(6)/(5)</w:t>
            </w:r>
          </w:p>
        </w:tc>
      </w:tr>
      <w:tr w:rsidR="00F17B69" w:rsidRPr="00991224" w:rsidTr="00A749A1">
        <w:tc>
          <w:tcPr>
            <w:tcW w:w="1680" w:type="dxa"/>
          </w:tcPr>
          <w:p w:rsidR="00F17B69" w:rsidRPr="00991224" w:rsidRDefault="00F17B69" w:rsidP="005E51A4">
            <w:pPr>
              <w:jc w:val="center"/>
              <w:rPr>
                <w:rFonts w:asciiTheme="minorHAnsi" w:hAnsiTheme="minorHAnsi"/>
              </w:rPr>
            </w:pPr>
            <w:r w:rsidRPr="00991224">
              <w:rPr>
                <w:rFonts w:asciiTheme="minorHAnsi" w:hAnsiTheme="minorHAnsi"/>
              </w:rPr>
              <w:t>Merateľný ukazovateľ n</w:t>
            </w:r>
            <w:r w:rsidRPr="00991224">
              <w:rPr>
                <w:rFonts w:asciiTheme="minorHAnsi" w:hAnsiTheme="minorHAnsi"/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991224" w:rsidRDefault="00F17B69" w:rsidP="005E51A4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F17B69" w:rsidRPr="00991224" w:rsidRDefault="00F17B69" w:rsidP="005E51A4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F17B69" w:rsidRPr="00991224" w:rsidRDefault="00F17B69" w:rsidP="005E51A4">
            <w:pPr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F17B69" w:rsidRPr="00991224" w:rsidRDefault="00F17B69" w:rsidP="005E51A4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F17B69" w:rsidRPr="00991224" w:rsidRDefault="00F17B69" w:rsidP="005E51A4">
            <w:pPr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:rsidR="00F17B69" w:rsidRPr="00991224" w:rsidRDefault="00F17B69" w:rsidP="005E51A4">
            <w:pPr>
              <w:rPr>
                <w:rFonts w:asciiTheme="minorHAnsi" w:hAnsiTheme="minorHAnsi"/>
              </w:rPr>
            </w:pPr>
          </w:p>
        </w:tc>
      </w:tr>
      <w:tr w:rsidR="00F17B69" w:rsidRPr="00991224" w:rsidTr="00F17B69">
        <w:tc>
          <w:tcPr>
            <w:tcW w:w="1680" w:type="dxa"/>
          </w:tcPr>
          <w:p w:rsidR="00F17B69" w:rsidRPr="00991224" w:rsidRDefault="00F17B69" w:rsidP="005E51A4">
            <w:pPr>
              <w:jc w:val="center"/>
              <w:rPr>
                <w:rFonts w:asciiTheme="minorHAnsi" w:hAnsiTheme="minorHAnsi"/>
              </w:rPr>
            </w:pPr>
            <w:r w:rsidRPr="00991224">
              <w:rPr>
                <w:rFonts w:asciiTheme="minorHAnsi" w:hAnsiTheme="minorHAnsi"/>
              </w:rPr>
              <w:t>Poznámky k merateľnému</w:t>
            </w:r>
          </w:p>
          <w:p w:rsidR="00F17B69" w:rsidRPr="00991224" w:rsidRDefault="00F17B69" w:rsidP="005E51A4">
            <w:pPr>
              <w:jc w:val="center"/>
              <w:rPr>
                <w:rFonts w:asciiTheme="minorHAnsi" w:hAnsiTheme="minorHAnsi"/>
              </w:rPr>
            </w:pPr>
            <w:r w:rsidRPr="00991224">
              <w:rPr>
                <w:rFonts w:asciiTheme="minorHAnsi" w:hAnsiTheme="minorHAnsi"/>
              </w:rPr>
              <w:t>ukazovateľu n</w:t>
            </w:r>
            <w:r w:rsidRPr="00991224">
              <w:rPr>
                <w:rFonts w:asciiTheme="minorHAnsi" w:hAnsiTheme="minorHAnsi"/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991224" w:rsidRDefault="00F17B69" w:rsidP="005E51A4">
            <w:pPr>
              <w:rPr>
                <w:rFonts w:asciiTheme="minorHAnsi" w:hAnsiTheme="minorHAnsi"/>
              </w:rPr>
            </w:pPr>
          </w:p>
        </w:tc>
      </w:tr>
    </w:tbl>
    <w:p w:rsidR="005E51A4" w:rsidRPr="00991224" w:rsidRDefault="005E51A4" w:rsidP="005E51A4">
      <w:pPr>
        <w:rPr>
          <w:rFonts w:asciiTheme="minorHAnsi" w:hAnsiTheme="minorHAnsi"/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991224" w:rsidTr="00547395">
        <w:tc>
          <w:tcPr>
            <w:tcW w:w="5000" w:type="pct"/>
            <w:shd w:val="clear" w:color="auto" w:fill="FABF8F" w:themeFill="accent6" w:themeFillTint="99"/>
          </w:tcPr>
          <w:p w:rsidR="005E51A4" w:rsidRPr="00991224" w:rsidRDefault="005E51A4" w:rsidP="005E51A4">
            <w:pPr>
              <w:rPr>
                <w:rFonts w:asciiTheme="minorHAnsi" w:hAnsiTheme="minorHAnsi"/>
                <w:b/>
              </w:rPr>
            </w:pPr>
            <w:r w:rsidRPr="00991224">
              <w:rPr>
                <w:rFonts w:asciiTheme="minorHAnsi" w:hAnsiTheme="minorHAnsi"/>
                <w:b/>
                <w:sz w:val="28"/>
                <w:szCs w:val="22"/>
              </w:rPr>
              <w:t>3</w:t>
            </w:r>
            <w:r w:rsidRPr="00991224">
              <w:rPr>
                <w:rFonts w:asciiTheme="minorHAnsi" w:hAnsiTheme="minorHAnsi"/>
                <w:b/>
              </w:rPr>
              <w:t xml:space="preserve">. </w:t>
            </w:r>
            <w:r w:rsidRPr="00991224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991224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E51A4" w:rsidRPr="00991224" w:rsidTr="00547395">
        <w:tc>
          <w:tcPr>
            <w:tcW w:w="5000" w:type="pct"/>
          </w:tcPr>
          <w:p w:rsidR="005E51A4" w:rsidRPr="00991224" w:rsidRDefault="005E51A4" w:rsidP="005E51A4">
            <w:pPr>
              <w:rPr>
                <w:rFonts w:asciiTheme="minorHAnsi" w:hAnsiTheme="minorHAnsi"/>
                <w:b/>
              </w:rPr>
            </w:pPr>
          </w:p>
        </w:tc>
      </w:tr>
    </w:tbl>
    <w:p w:rsidR="00627EA3" w:rsidRPr="00991224" w:rsidRDefault="00627EA3" w:rsidP="005E51A4">
      <w:pPr>
        <w:rPr>
          <w:rFonts w:asciiTheme="minorHAnsi" w:hAnsiTheme="minorHAnsi"/>
        </w:rPr>
      </w:pPr>
    </w:p>
    <w:sectPr w:rsidR="00627EA3" w:rsidRPr="00991224" w:rsidSect="005E51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E17" w:rsidRDefault="00EC1E17" w:rsidP="00B948E0">
      <w:r>
        <w:separator/>
      </w:r>
    </w:p>
  </w:endnote>
  <w:endnote w:type="continuationSeparator" w:id="0">
    <w:p w:rsidR="00EC1E17" w:rsidRDefault="00EC1E17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224" w:rsidRDefault="0099122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224" w:rsidRPr="00874213" w:rsidRDefault="00991224" w:rsidP="0087421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224" w:rsidRPr="00874213" w:rsidRDefault="00991224" w:rsidP="008742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E17" w:rsidRDefault="00EC1E17" w:rsidP="00B948E0">
      <w:r>
        <w:separator/>
      </w:r>
    </w:p>
  </w:footnote>
  <w:footnote w:type="continuationSeparator" w:id="0">
    <w:p w:rsidR="00EC1E17" w:rsidRDefault="00EC1E17" w:rsidP="00B948E0">
      <w:r>
        <w:continuationSeparator/>
      </w:r>
    </w:p>
  </w:footnote>
  <w:footnote w:id="1">
    <w:p w:rsidR="005E51A4" w:rsidRPr="00991224" w:rsidRDefault="005E51A4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Vypĺňané automaticky po odoslaní príslušnej žiadosti o platbu prijímateľom v ITMS2014+. Platí pre zúčtovanie zálohovej platby, priebežnú platbu a poskytnutie </w:t>
      </w:r>
      <w:proofErr w:type="spellStart"/>
      <w:r w:rsidRPr="00991224">
        <w:rPr>
          <w:rFonts w:ascii="Verdana" w:hAnsi="Verdana"/>
          <w:sz w:val="16"/>
          <w:szCs w:val="16"/>
        </w:rPr>
        <w:t>predfinancovania</w:t>
      </w:r>
      <w:proofErr w:type="spellEnd"/>
      <w:r w:rsidRPr="00991224">
        <w:rPr>
          <w:rFonts w:ascii="Verdana" w:hAnsi="Verdana"/>
          <w:sz w:val="16"/>
          <w:szCs w:val="16"/>
        </w:rPr>
        <w:t>.</w:t>
      </w:r>
    </w:p>
  </w:footnote>
  <w:footnote w:id="2">
    <w:p w:rsidR="00854A2E" w:rsidRPr="00991224" w:rsidRDefault="00854A2E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Vypĺňané automaticky ITMS 2014+. Uvádzajú sa kódy a názvy merateľných ukazovateľov vo vzťahu k daným aktivitám (hlavným aj podporným) v zmysle zmluvy o poskytnutí nenávratného finančného príspevku.</w:t>
      </w:r>
    </w:p>
  </w:footnote>
  <w:footnote w:id="3">
    <w:p w:rsidR="00854A2E" w:rsidRPr="00991224" w:rsidRDefault="00854A2E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4">
    <w:p w:rsidR="00854A2E" w:rsidRPr="00991224" w:rsidRDefault="00854A2E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854A2E" w:rsidRPr="00991224" w:rsidRDefault="00854A2E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Vypĺňané automaticky ITMS 2014+. Uvádza sa merná jednotka v zmysle zmluvy o poskytnutí nenávratného finančného príspevku.</w:t>
      </w:r>
    </w:p>
  </w:footnote>
  <w:footnote w:id="6">
    <w:p w:rsidR="00854A2E" w:rsidRPr="00991224" w:rsidRDefault="00854A2E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Vypĺňané automaticky ITMS 2014+.  Uvádza sa plánovaný stav merateľného ukazovateľa v zmysle zmluvy o poskytnutí nenávratného finančného príspevku. </w:t>
      </w:r>
    </w:p>
  </w:footnote>
  <w:footnote w:id="7">
    <w:p w:rsidR="00854A2E" w:rsidRPr="00991224" w:rsidRDefault="00854A2E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 xml:space="preserve">Uvádza sa kumulatívna hodnota merateľného ukazovateľa nameraná vo vzťahu k aktivite projektu k poslednému dňu monitorovaného obdobia, t.j. súhrnná hodnota dosiahnutá za obdobie od začiatku realizácie projektu do dátumu monitorovacej správy. </w:t>
      </w:r>
    </w:p>
  </w:footnote>
  <w:footnote w:id="8">
    <w:p w:rsidR="00854A2E" w:rsidRPr="00991224" w:rsidRDefault="00854A2E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 xml:space="preserve">Vypĺňané automaticky ITMS 2014+. Pomer skutočného stavu (stĺpe č. </w:t>
      </w:r>
      <w:r w:rsidR="008E3F90" w:rsidRPr="00991224">
        <w:rPr>
          <w:rFonts w:ascii="Verdana" w:hAnsi="Verdana"/>
          <w:sz w:val="16"/>
          <w:szCs w:val="16"/>
        </w:rPr>
        <w:t>7</w:t>
      </w:r>
      <w:r w:rsidRPr="00991224">
        <w:rPr>
          <w:rFonts w:ascii="Verdana" w:hAnsi="Verdana"/>
          <w:sz w:val="16"/>
          <w:szCs w:val="16"/>
        </w:rPr>
        <w:t xml:space="preserve">) ku plánovanému stavu (stĺpec č. </w:t>
      </w:r>
      <w:r w:rsidR="008E3F90" w:rsidRPr="00991224">
        <w:rPr>
          <w:rFonts w:ascii="Verdana" w:hAnsi="Verdana"/>
          <w:sz w:val="16"/>
          <w:szCs w:val="16"/>
        </w:rPr>
        <w:t>6</w:t>
      </w:r>
      <w:r w:rsidRPr="00991224">
        <w:rPr>
          <w:rFonts w:ascii="Verdana" w:hAnsi="Verdana"/>
          <w:sz w:val="16"/>
          <w:szCs w:val="16"/>
        </w:rPr>
        <w:t>) merateľného ukazovateľa  aktivity projektu v percentuálnom vyjadrení.</w:t>
      </w:r>
    </w:p>
  </w:footnote>
  <w:footnote w:id="9">
    <w:p w:rsidR="00854A2E" w:rsidRPr="00991224" w:rsidRDefault="00854A2E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 xml:space="preserve">Vypĺňané automaticky ITMS 2014+. 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10">
    <w:p w:rsidR="00854A2E" w:rsidRPr="00991224" w:rsidRDefault="00854A2E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Prijímateľ uvedie stručný popis priebehu a pokroku aktivity za obdobie od začiatku realizácie aktivít projektu do konca monitorovaného obdobia v prípade výročných monitorovacích správ a za monitorované obdobie v prípade záverečnej monitorovacej správy,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1">
    <w:p w:rsidR="00F17B69" w:rsidRPr="00991224" w:rsidRDefault="00F17B69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 xml:space="preserve">Uvádzajú sa údaje od začiatku realizácie projektu do ukončenia monitorovaného obdobia. </w:t>
      </w:r>
    </w:p>
  </w:footnote>
  <w:footnote w:id="12">
    <w:p w:rsidR="00F17B69" w:rsidRPr="00991224" w:rsidRDefault="00F17B69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Vypĺňané automaticky ITMS 2014+. Uvádzajú sa kódy a názvy merateľných ukazovateľov v zmysle zmluvy o poskytnutí nenávratného finančného príspevku.</w:t>
      </w:r>
    </w:p>
  </w:footnote>
  <w:footnote w:id="13">
    <w:p w:rsidR="00F17B69" w:rsidRPr="00991224" w:rsidRDefault="00F17B69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14">
    <w:p w:rsidR="00F17B69" w:rsidRPr="00991224" w:rsidRDefault="00F17B69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F17B69" w:rsidRPr="00991224" w:rsidRDefault="00F17B69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Vypĺňané automaticky ITMS 2014+. Uvádza sa merná jednotka v zmysle zmluvy o poskytnutí nenávratného finančného príspevku.</w:t>
      </w:r>
    </w:p>
  </w:footnote>
  <w:footnote w:id="16">
    <w:p w:rsidR="00F17B69" w:rsidRPr="00991224" w:rsidRDefault="00F17B69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Vypĺňané automaticky ITMS 2014+.  Uvádza sa plánovaný stav merateľných ukazovateľov v zmysle zmluvy o poskytnutí nenávratného finančného príspevku. </w:t>
      </w:r>
    </w:p>
  </w:footnote>
  <w:footnote w:id="17">
    <w:p w:rsidR="00F17B69" w:rsidRPr="00991224" w:rsidRDefault="00F17B69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Uvádza sa kumulatívna hodnota merateľného ukazovateľa nameraná k poslednému dňu monitorovaného obdobia, t.j. súhrnná hodnota dosiahnutá za obdobie od začiatku realizácie projektu do posledného dňa monitorovaného obdobia.</w:t>
      </w:r>
    </w:p>
  </w:footnote>
  <w:footnote w:id="18">
    <w:p w:rsidR="00F17B69" w:rsidRPr="00991224" w:rsidRDefault="00F17B69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Vypĺňané automaticky ITMS 2014+. Pomer skutočného stavu (stĺpe č. 6) ku plánovanému stavu (stĺpec č. 5) merateľného ukazovateľa  aktivity projektu v percentuálnom vyjadrení.</w:t>
      </w:r>
    </w:p>
  </w:footnote>
  <w:footnote w:id="19">
    <w:p w:rsidR="00F17B69" w:rsidRPr="00991224" w:rsidRDefault="00F17B69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Vypĺňané automaticky ITMS 2014+. Uvádzajú sa postupne všetky merateľné ukazovatele v zmysle zmluvy o poskytnutí nenávratného finančného príspevku.</w:t>
      </w:r>
    </w:p>
  </w:footnote>
  <w:footnote w:id="20">
    <w:p w:rsidR="00F17B69" w:rsidRPr="00991224" w:rsidRDefault="00F17B69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21">
    <w:p w:rsidR="005E51A4" w:rsidRPr="00991224" w:rsidRDefault="005E51A4" w:rsidP="0099122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991224">
        <w:rPr>
          <w:rStyle w:val="Odkaznapoznmkupodiarou"/>
          <w:rFonts w:ascii="Verdana" w:hAnsi="Verdana"/>
          <w:sz w:val="16"/>
          <w:szCs w:val="16"/>
        </w:rPr>
        <w:footnoteRef/>
      </w:r>
      <w:r w:rsidRPr="00991224">
        <w:rPr>
          <w:rFonts w:ascii="Verdana" w:hAnsi="Verdana"/>
          <w:sz w:val="16"/>
          <w:szCs w:val="16"/>
        </w:rPr>
        <w:t xml:space="preserve"> </w:t>
      </w:r>
      <w:r w:rsidRPr="00991224">
        <w:rPr>
          <w:rFonts w:ascii="Verdana" w:hAnsi="Verdana"/>
          <w:sz w:val="16"/>
          <w:szCs w:val="16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C80C08" w:rsidRPr="00991224">
        <w:rPr>
          <w:rFonts w:ascii="Verdana" w:hAnsi="Verdana"/>
          <w:sz w:val="16"/>
          <w:szCs w:val="16"/>
        </w:rPr>
        <w:t>/Rozhodnutia o schválení</w:t>
      </w:r>
      <w:r w:rsidRPr="00991224">
        <w:rPr>
          <w:rFonts w:ascii="Verdana" w:hAnsi="Verdana"/>
          <w:sz w:val="16"/>
          <w:szCs w:val="16"/>
        </w:rPr>
        <w:t xml:space="preserve"> , ďalej o rizikách, ktoré vznikli v súvislosti s realizáciou projektu a opatreniach prijatých na ich elimináciu a iných údajoch týkajúcich sa realizácie projektu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224" w:rsidRDefault="0099122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874213" w:rsidRDefault="0004107F" w:rsidP="0087421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874213" w:rsidRDefault="0004107F" w:rsidP="0087421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1147BD"/>
    <w:rsid w:val="00116B38"/>
    <w:rsid w:val="00116F61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3F90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444E7"/>
    <w:rsid w:val="0056427D"/>
    <w:rsid w:val="00566045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0061"/>
    <w:rsid w:val="00622D7A"/>
    <w:rsid w:val="00623EF6"/>
    <w:rsid w:val="00627EA3"/>
    <w:rsid w:val="006479DF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213"/>
    <w:rsid w:val="008743E6"/>
    <w:rsid w:val="008806AC"/>
    <w:rsid w:val="00891EDF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606FA"/>
    <w:rsid w:val="00977CF6"/>
    <w:rsid w:val="009836CF"/>
    <w:rsid w:val="00991224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16F4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E6CD9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52268"/>
    <w:rsid w:val="00C53567"/>
    <w:rsid w:val="00C54D9F"/>
    <w:rsid w:val="00C567E9"/>
    <w:rsid w:val="00C6439D"/>
    <w:rsid w:val="00C71D0A"/>
    <w:rsid w:val="00C7625A"/>
    <w:rsid w:val="00C76EFF"/>
    <w:rsid w:val="00C76F19"/>
    <w:rsid w:val="00C80C08"/>
    <w:rsid w:val="00C92BF0"/>
    <w:rsid w:val="00CA208E"/>
    <w:rsid w:val="00CA4CC8"/>
    <w:rsid w:val="00CB33DE"/>
    <w:rsid w:val="00CB4790"/>
    <w:rsid w:val="00CC21DC"/>
    <w:rsid w:val="00CD3D13"/>
    <w:rsid w:val="00CF5379"/>
    <w:rsid w:val="00D05350"/>
    <w:rsid w:val="00D26005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C1E17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2015-06-29T08:33:00Z</dcterms:created>
  <dcterms:modified xsi:type="dcterms:W3CDTF">2015-06-29T08:33:00Z</dcterms:modified>
</cp:coreProperties>
</file>