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bookmarkStart w:id="0" w:name="_GoBack"/>
      <w:bookmarkEnd w:id="0"/>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 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A80CBE"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sidRPr="00602D56">
        <w:rPr>
          <w:rFonts w:cs="Arial"/>
          <w:b/>
          <w:color w:val="365F91"/>
          <w:lang w:eastAsia="en-US"/>
        </w:rPr>
        <w:t>r</w:t>
      </w:r>
      <w:r w:rsidR="00375F6A" w:rsidRPr="00602D56">
        <w:rPr>
          <w:rFonts w:cs="Arial"/>
          <w:b/>
          <w:color w:val="365F91"/>
          <w:lang w:eastAsia="en-US"/>
        </w:rPr>
        <w:t xml:space="preserve">iadiaci orgán pre </w:t>
      </w:r>
      <w:r w:rsidRPr="00602D56">
        <w:rPr>
          <w:rFonts w:cs="Arial"/>
          <w:b/>
          <w:color w:val="365F91"/>
          <w:lang w:eastAsia="en-US"/>
        </w:rPr>
        <w:t>o</w:t>
      </w:r>
      <w:r w:rsidR="00375F6A" w:rsidRPr="00602D56">
        <w:rPr>
          <w:rFonts w:cs="Arial"/>
          <w:b/>
          <w:color w:val="365F91"/>
          <w:lang w:eastAsia="en-US"/>
        </w:rPr>
        <w:t xml:space="preserve">peračný program </w:t>
      </w:r>
      <w:r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r w:rsidR="00CB1075">
        <w:rPr>
          <w:rFonts w:cs="Arial"/>
          <w:color w:val="365F91"/>
          <w:sz w:val="24"/>
          <w:szCs w:val="24"/>
          <w:lang w:eastAsia="en-US"/>
        </w:rPr>
        <w:t>3</w:t>
      </w:r>
      <w:r w:rsidRPr="00602D56">
        <w:rPr>
          <w:rFonts w:cs="Arial"/>
          <w:color w:val="365F91"/>
          <w:sz w:val="24"/>
          <w:szCs w:val="24"/>
          <w:lang w:eastAsia="en-US"/>
        </w:rPr>
        <w:t xml:space="preserve">.0, </w:t>
      </w:r>
      <w:r w:rsidR="00EB2412">
        <w:rPr>
          <w:rFonts w:cs="Arial"/>
          <w:color w:val="365F91"/>
          <w:sz w:val="24"/>
          <w:szCs w:val="24"/>
          <w:lang w:eastAsia="en-US"/>
        </w:rPr>
        <w:t xml:space="preserve">účinnosť od </w:t>
      </w:r>
      <w:r w:rsidR="00944791" w:rsidRPr="000D55CB">
        <w:rPr>
          <w:rFonts w:cs="Arial"/>
          <w:color w:val="365F91"/>
          <w:sz w:val="24"/>
          <w:szCs w:val="24"/>
          <w:lang w:eastAsia="en-US"/>
        </w:rPr>
        <w:t>23</w:t>
      </w:r>
      <w:r w:rsidRPr="00944791">
        <w:rPr>
          <w:rFonts w:cs="Arial"/>
          <w:color w:val="365F91"/>
          <w:sz w:val="24"/>
          <w:szCs w:val="24"/>
          <w:lang w:eastAsia="en-US"/>
        </w:rPr>
        <w:t xml:space="preserve">. </w:t>
      </w:r>
      <w:r w:rsidR="00944791" w:rsidRPr="000D55CB">
        <w:rPr>
          <w:rFonts w:cs="Arial"/>
          <w:color w:val="365F91"/>
          <w:sz w:val="24"/>
          <w:szCs w:val="24"/>
          <w:lang w:eastAsia="en-US"/>
        </w:rPr>
        <w:t>marca</w:t>
      </w:r>
      <w:r w:rsidR="00944791" w:rsidRPr="00944791">
        <w:rPr>
          <w:rFonts w:cs="Arial"/>
          <w:color w:val="365F91"/>
          <w:sz w:val="24"/>
          <w:szCs w:val="24"/>
          <w:lang w:eastAsia="en-US"/>
        </w:rPr>
        <w:t xml:space="preserve"> </w:t>
      </w:r>
      <w:r w:rsidR="00A77D47" w:rsidRPr="00944791">
        <w:rPr>
          <w:rFonts w:cs="Arial"/>
          <w:color w:val="365F91"/>
          <w:sz w:val="24"/>
          <w:szCs w:val="24"/>
          <w:lang w:eastAsia="en-US"/>
        </w:rPr>
        <w:t>2016</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bookmarkStart w:id="1" w:name="_Toc445989759"/>
    <w:p w:rsidR="00EB2412" w:rsidRDefault="00A0757C" w:rsidP="00602D56">
      <w:pPr>
        <w:pStyle w:val="Nadpis1"/>
        <w:rPr>
          <w:rFonts w:ascii="Calibri" w:hAnsi="Calibri"/>
          <w:lang w:val="sk-SK"/>
        </w:rPr>
      </w:pPr>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584628BC" wp14:editId="16959675">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F11216" w:rsidRDefault="00F11216"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11216" w:rsidRDefault="00F11216" w:rsidP="00375F6A">
                                <w:pPr>
                                  <w:pStyle w:val="Normlnywebov"/>
                                  <w:spacing w:line="240" w:lineRule="atLeast"/>
                                </w:pPr>
                                <w:r w:rsidRPr="00014857">
                                  <w:rPr>
                                    <w:rFonts w:ascii="Arial" w:hAnsi="Arial" w:cs="Arial"/>
                                    <w:color w:val="000000"/>
                                    <w:kern w:val="24"/>
                                    <w:sz w:val="16"/>
                                    <w:szCs w:val="16"/>
                                  </w:rPr>
                                  <w:t>Európske štrukturálne</w:t>
                                </w:r>
                              </w:p>
                              <w:p w:rsidR="00F11216" w:rsidRDefault="00F11216"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F11216" w:rsidRDefault="00F11216"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11216" w:rsidRDefault="00F11216" w:rsidP="00375F6A">
                          <w:pPr>
                            <w:pStyle w:val="Normlnywebov"/>
                            <w:spacing w:line="240" w:lineRule="atLeast"/>
                          </w:pPr>
                          <w:r w:rsidRPr="00014857">
                            <w:rPr>
                              <w:rFonts w:ascii="Arial" w:hAnsi="Arial" w:cs="Arial"/>
                              <w:color w:val="000000"/>
                              <w:kern w:val="24"/>
                              <w:sz w:val="16"/>
                              <w:szCs w:val="16"/>
                            </w:rPr>
                            <w:t>Európske štrukturálne</w:t>
                          </w:r>
                        </w:p>
                        <w:p w:rsidR="00F11216" w:rsidRDefault="00F11216"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1"/>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2" w:name="_Toc445989760"/>
      <w:r w:rsidRPr="00C32732">
        <w:rPr>
          <w:rFonts w:ascii="Calibri" w:hAnsi="Calibri"/>
        </w:rPr>
        <w:lastRenderedPageBreak/>
        <w:t>Obsah</w:t>
      </w:r>
      <w:bookmarkEnd w:id="2"/>
    </w:p>
    <w:p w:rsidR="00997898"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45989759" w:history="1">
        <w:r w:rsidR="00997898">
          <w:rPr>
            <w:noProof/>
            <w:webHidden/>
          </w:rPr>
          <w:tab/>
        </w:r>
        <w:r w:rsidR="00997898">
          <w:rPr>
            <w:noProof/>
            <w:webHidden/>
          </w:rPr>
          <w:fldChar w:fldCharType="begin"/>
        </w:r>
        <w:r w:rsidR="00997898">
          <w:rPr>
            <w:noProof/>
            <w:webHidden/>
          </w:rPr>
          <w:instrText xml:space="preserve"> PAGEREF _Toc445989759 \h </w:instrText>
        </w:r>
        <w:r w:rsidR="00997898">
          <w:rPr>
            <w:noProof/>
            <w:webHidden/>
          </w:rPr>
        </w:r>
        <w:r w:rsidR="00997898">
          <w:rPr>
            <w:noProof/>
            <w:webHidden/>
          </w:rPr>
          <w:fldChar w:fldCharType="separate"/>
        </w:r>
        <w:r w:rsidR="00997898">
          <w:rPr>
            <w:noProof/>
            <w:webHidden/>
          </w:rPr>
          <w:t>1</w:t>
        </w:r>
        <w:r w:rsidR="00997898">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760" w:history="1">
        <w:r w:rsidRPr="0080796E">
          <w:rPr>
            <w:rStyle w:val="Hypertextovprepojenie"/>
            <w:rFonts w:ascii="Calibri" w:hAnsi="Calibri"/>
            <w:noProof/>
          </w:rPr>
          <w:t>Obsah</w:t>
        </w:r>
        <w:r>
          <w:rPr>
            <w:noProof/>
            <w:webHidden/>
          </w:rPr>
          <w:tab/>
        </w:r>
        <w:r>
          <w:rPr>
            <w:noProof/>
            <w:webHidden/>
          </w:rPr>
          <w:fldChar w:fldCharType="begin"/>
        </w:r>
        <w:r>
          <w:rPr>
            <w:noProof/>
            <w:webHidden/>
          </w:rPr>
          <w:instrText xml:space="preserve"> PAGEREF _Toc445989760 \h </w:instrText>
        </w:r>
        <w:r>
          <w:rPr>
            <w:noProof/>
            <w:webHidden/>
          </w:rPr>
        </w:r>
        <w:r>
          <w:rPr>
            <w:noProof/>
            <w:webHidden/>
          </w:rPr>
          <w:fldChar w:fldCharType="separate"/>
        </w:r>
        <w:r>
          <w:rPr>
            <w:noProof/>
            <w:webHidden/>
          </w:rPr>
          <w:t>2</w:t>
        </w:r>
        <w:r>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761" w:history="1">
        <w:r w:rsidRPr="0080796E">
          <w:rPr>
            <w:rStyle w:val="Hypertextovprepojenie"/>
            <w:rFonts w:ascii="Calibri" w:hAnsi="Calibri"/>
            <w:noProof/>
          </w:rPr>
          <w:t>Úvod</w:t>
        </w:r>
        <w:r>
          <w:rPr>
            <w:noProof/>
            <w:webHidden/>
          </w:rPr>
          <w:tab/>
        </w:r>
        <w:r>
          <w:rPr>
            <w:noProof/>
            <w:webHidden/>
          </w:rPr>
          <w:fldChar w:fldCharType="begin"/>
        </w:r>
        <w:r>
          <w:rPr>
            <w:noProof/>
            <w:webHidden/>
          </w:rPr>
          <w:instrText xml:space="preserve"> PAGEREF _Toc445989761 \h </w:instrText>
        </w:r>
        <w:r>
          <w:rPr>
            <w:noProof/>
            <w:webHidden/>
          </w:rPr>
        </w:r>
        <w:r>
          <w:rPr>
            <w:noProof/>
            <w:webHidden/>
          </w:rPr>
          <w:fldChar w:fldCharType="separate"/>
        </w:r>
        <w:r>
          <w:rPr>
            <w:noProof/>
            <w:webHidden/>
          </w:rPr>
          <w:t>5</w:t>
        </w:r>
        <w:r>
          <w:rPr>
            <w:noProof/>
            <w:webHidden/>
          </w:rPr>
          <w:fldChar w:fldCharType="end"/>
        </w:r>
      </w:hyperlink>
    </w:p>
    <w:p w:rsidR="00997898" w:rsidRDefault="00997898">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45989762" w:history="1">
        <w:r w:rsidRPr="0080796E">
          <w:rPr>
            <w:rStyle w:val="Hypertextovprepojenie"/>
            <w:rFonts w:ascii="Calibri" w:hAnsi="Calibri"/>
            <w:noProof/>
          </w:rPr>
          <w:t>1.</w:t>
        </w:r>
        <w:r>
          <w:rPr>
            <w:rFonts w:asciiTheme="minorHAnsi" w:eastAsiaTheme="minorEastAsia" w:hAnsiTheme="minorHAnsi" w:cstheme="minorBidi"/>
            <w:noProof/>
            <w:sz w:val="22"/>
            <w:szCs w:val="22"/>
            <w:lang w:eastAsia="sk-SK"/>
          </w:rPr>
          <w:tab/>
        </w:r>
        <w:r w:rsidRPr="0080796E">
          <w:rPr>
            <w:rStyle w:val="Hypertextovprepojenie"/>
            <w:rFonts w:ascii="Calibri" w:hAnsi="Calibri"/>
            <w:noProof/>
          </w:rPr>
          <w:t>Cieľ  a platnosť príručky</w:t>
        </w:r>
        <w:r>
          <w:rPr>
            <w:noProof/>
            <w:webHidden/>
          </w:rPr>
          <w:tab/>
        </w:r>
        <w:r>
          <w:rPr>
            <w:noProof/>
            <w:webHidden/>
          </w:rPr>
          <w:fldChar w:fldCharType="begin"/>
        </w:r>
        <w:r>
          <w:rPr>
            <w:noProof/>
            <w:webHidden/>
          </w:rPr>
          <w:instrText xml:space="preserve"> PAGEREF _Toc445989762 \h </w:instrText>
        </w:r>
        <w:r>
          <w:rPr>
            <w:noProof/>
            <w:webHidden/>
          </w:rPr>
        </w:r>
        <w:r>
          <w:rPr>
            <w:noProof/>
            <w:webHidden/>
          </w:rPr>
          <w:fldChar w:fldCharType="separate"/>
        </w:r>
        <w:r>
          <w:rPr>
            <w:noProof/>
            <w:webHidden/>
          </w:rPr>
          <w:t>6</w:t>
        </w:r>
        <w:r>
          <w:rPr>
            <w:noProof/>
            <w:webHidden/>
          </w:rPr>
          <w:fldChar w:fldCharType="end"/>
        </w:r>
      </w:hyperlink>
    </w:p>
    <w:p w:rsidR="00997898" w:rsidRDefault="00997898">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45989763" w:history="1">
        <w:r w:rsidRPr="0080796E">
          <w:rPr>
            <w:rStyle w:val="Hypertextovprepojenie"/>
            <w:rFonts w:ascii="Calibri" w:hAnsi="Calibri"/>
            <w:noProof/>
          </w:rPr>
          <w:t>2.</w:t>
        </w:r>
        <w:r>
          <w:rPr>
            <w:rFonts w:asciiTheme="minorHAnsi" w:eastAsiaTheme="minorEastAsia" w:hAnsiTheme="minorHAnsi" w:cstheme="minorBidi"/>
            <w:noProof/>
            <w:sz w:val="22"/>
            <w:szCs w:val="22"/>
            <w:lang w:eastAsia="sk-SK"/>
          </w:rPr>
          <w:tab/>
        </w:r>
        <w:r w:rsidRPr="0080796E">
          <w:rPr>
            <w:rStyle w:val="Hypertextovprepojenie"/>
            <w:rFonts w:ascii="Calibri" w:hAnsi="Calibri"/>
            <w:noProof/>
          </w:rPr>
          <w:t>Zoznam  skratiek</w:t>
        </w:r>
        <w:r>
          <w:rPr>
            <w:noProof/>
            <w:webHidden/>
          </w:rPr>
          <w:tab/>
        </w:r>
        <w:r>
          <w:rPr>
            <w:noProof/>
            <w:webHidden/>
          </w:rPr>
          <w:fldChar w:fldCharType="begin"/>
        </w:r>
        <w:r>
          <w:rPr>
            <w:noProof/>
            <w:webHidden/>
          </w:rPr>
          <w:instrText xml:space="preserve"> PAGEREF _Toc445989763 \h </w:instrText>
        </w:r>
        <w:r>
          <w:rPr>
            <w:noProof/>
            <w:webHidden/>
          </w:rPr>
        </w:r>
        <w:r>
          <w:rPr>
            <w:noProof/>
            <w:webHidden/>
          </w:rPr>
          <w:fldChar w:fldCharType="separate"/>
        </w:r>
        <w:r>
          <w:rPr>
            <w:noProof/>
            <w:webHidden/>
          </w:rPr>
          <w:t>8</w:t>
        </w:r>
        <w:r>
          <w:rPr>
            <w:noProof/>
            <w:webHidden/>
          </w:rPr>
          <w:fldChar w:fldCharType="end"/>
        </w:r>
      </w:hyperlink>
    </w:p>
    <w:p w:rsidR="00997898" w:rsidRDefault="00997898">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45989764" w:history="1">
        <w:r w:rsidRPr="0080796E">
          <w:rPr>
            <w:rStyle w:val="Hypertextovprepojenie"/>
            <w:rFonts w:ascii="Calibri" w:hAnsi="Calibri"/>
            <w:noProof/>
          </w:rPr>
          <w:t>3.</w:t>
        </w:r>
        <w:r>
          <w:rPr>
            <w:rFonts w:asciiTheme="minorHAnsi" w:eastAsiaTheme="minorEastAsia" w:hAnsiTheme="minorHAnsi" w:cstheme="minorBidi"/>
            <w:noProof/>
            <w:sz w:val="22"/>
            <w:szCs w:val="22"/>
            <w:lang w:eastAsia="sk-SK"/>
          </w:rPr>
          <w:tab/>
        </w:r>
        <w:r w:rsidRPr="0080796E">
          <w:rPr>
            <w:rStyle w:val="Hypertextovprepojenie"/>
            <w:rFonts w:ascii="Calibri" w:hAnsi="Calibri"/>
            <w:noProof/>
          </w:rPr>
          <w:t>Spôsob komunikácie medzi Prijímateľom a  Poskytovateľom počas implementácie projektov</w:t>
        </w:r>
        <w:r>
          <w:rPr>
            <w:noProof/>
            <w:webHidden/>
          </w:rPr>
          <w:tab/>
        </w:r>
        <w:r>
          <w:rPr>
            <w:noProof/>
            <w:webHidden/>
          </w:rPr>
          <w:fldChar w:fldCharType="begin"/>
        </w:r>
        <w:r>
          <w:rPr>
            <w:noProof/>
            <w:webHidden/>
          </w:rPr>
          <w:instrText xml:space="preserve"> PAGEREF _Toc445989764 \h </w:instrText>
        </w:r>
        <w:r>
          <w:rPr>
            <w:noProof/>
            <w:webHidden/>
          </w:rPr>
        </w:r>
        <w:r>
          <w:rPr>
            <w:noProof/>
            <w:webHidden/>
          </w:rPr>
          <w:fldChar w:fldCharType="separate"/>
        </w:r>
        <w:r>
          <w:rPr>
            <w:noProof/>
            <w:webHidden/>
          </w:rPr>
          <w:t>9</w:t>
        </w:r>
        <w:r>
          <w:rPr>
            <w:noProof/>
            <w:webHidden/>
          </w:rPr>
          <w:fldChar w:fldCharType="end"/>
        </w:r>
      </w:hyperlink>
    </w:p>
    <w:p w:rsidR="00997898" w:rsidRDefault="00997898">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45989765" w:history="1">
        <w:r w:rsidRPr="0080796E">
          <w:rPr>
            <w:rStyle w:val="Hypertextovprepojenie"/>
            <w:rFonts w:ascii="Calibri" w:hAnsi="Calibri"/>
            <w:noProof/>
          </w:rPr>
          <w:t>4.</w:t>
        </w:r>
        <w:r>
          <w:rPr>
            <w:rFonts w:asciiTheme="minorHAnsi" w:eastAsiaTheme="minorEastAsia" w:hAnsiTheme="minorHAnsi" w:cstheme="minorBidi"/>
            <w:noProof/>
            <w:sz w:val="22"/>
            <w:szCs w:val="22"/>
            <w:lang w:eastAsia="sk-SK"/>
          </w:rPr>
          <w:tab/>
        </w:r>
        <w:r w:rsidRPr="0080796E">
          <w:rPr>
            <w:rStyle w:val="Hypertextovprepojenie"/>
            <w:rFonts w:ascii="Calibri" w:hAnsi="Calibri"/>
            <w:noProof/>
          </w:rPr>
          <w:t>Implementácia projektov</w:t>
        </w:r>
        <w:r>
          <w:rPr>
            <w:noProof/>
            <w:webHidden/>
          </w:rPr>
          <w:tab/>
        </w:r>
        <w:r>
          <w:rPr>
            <w:noProof/>
            <w:webHidden/>
          </w:rPr>
          <w:fldChar w:fldCharType="begin"/>
        </w:r>
        <w:r>
          <w:rPr>
            <w:noProof/>
            <w:webHidden/>
          </w:rPr>
          <w:instrText xml:space="preserve"> PAGEREF _Toc445989765 \h </w:instrText>
        </w:r>
        <w:r>
          <w:rPr>
            <w:noProof/>
            <w:webHidden/>
          </w:rPr>
        </w:r>
        <w:r>
          <w:rPr>
            <w:noProof/>
            <w:webHidden/>
          </w:rPr>
          <w:fldChar w:fldCharType="separate"/>
        </w:r>
        <w:r>
          <w:rPr>
            <w:noProof/>
            <w:webHidden/>
          </w:rPr>
          <w:t>11</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766" w:history="1">
        <w:r w:rsidRPr="0080796E">
          <w:rPr>
            <w:rStyle w:val="Hypertextovprepojenie"/>
            <w:rFonts w:ascii="Calibri" w:hAnsi="Calibri"/>
            <w:noProof/>
          </w:rPr>
          <w:t>4.1 Príprava Verejného obstarávania</w:t>
        </w:r>
        <w:r>
          <w:rPr>
            <w:noProof/>
            <w:webHidden/>
          </w:rPr>
          <w:tab/>
        </w:r>
        <w:r>
          <w:rPr>
            <w:noProof/>
            <w:webHidden/>
          </w:rPr>
          <w:fldChar w:fldCharType="begin"/>
        </w:r>
        <w:r>
          <w:rPr>
            <w:noProof/>
            <w:webHidden/>
          </w:rPr>
          <w:instrText xml:space="preserve"> PAGEREF _Toc445989766 \h </w:instrText>
        </w:r>
        <w:r>
          <w:rPr>
            <w:noProof/>
            <w:webHidden/>
          </w:rPr>
        </w:r>
        <w:r>
          <w:rPr>
            <w:noProof/>
            <w:webHidden/>
          </w:rPr>
          <w:fldChar w:fldCharType="separate"/>
        </w:r>
        <w:r>
          <w:rPr>
            <w:noProof/>
            <w:webHidden/>
          </w:rPr>
          <w:t>11</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767" w:history="1">
        <w:r w:rsidRPr="0080796E">
          <w:rPr>
            <w:rStyle w:val="Hypertextovprepojenie"/>
            <w:rFonts w:ascii="Calibri" w:hAnsi="Calibri"/>
            <w:noProof/>
          </w:rPr>
          <w:t>4.2 Začatie realizácie hlavných aktivít projektu</w:t>
        </w:r>
        <w:r>
          <w:rPr>
            <w:noProof/>
            <w:webHidden/>
          </w:rPr>
          <w:tab/>
        </w:r>
        <w:r>
          <w:rPr>
            <w:noProof/>
            <w:webHidden/>
          </w:rPr>
          <w:fldChar w:fldCharType="begin"/>
        </w:r>
        <w:r>
          <w:rPr>
            <w:noProof/>
            <w:webHidden/>
          </w:rPr>
          <w:instrText xml:space="preserve"> PAGEREF _Toc445989767 \h </w:instrText>
        </w:r>
        <w:r>
          <w:rPr>
            <w:noProof/>
            <w:webHidden/>
          </w:rPr>
        </w:r>
        <w:r>
          <w:rPr>
            <w:noProof/>
            <w:webHidden/>
          </w:rPr>
          <w:fldChar w:fldCharType="separate"/>
        </w:r>
        <w:r>
          <w:rPr>
            <w:noProof/>
            <w:webHidden/>
          </w:rPr>
          <w:t>11</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768" w:history="1">
        <w:r w:rsidRPr="0080796E">
          <w:rPr>
            <w:rStyle w:val="Hypertextovprepojenie"/>
            <w:rFonts w:ascii="Calibri" w:hAnsi="Calibri"/>
            <w:noProof/>
          </w:rPr>
          <w:t>4.3 Financovanie projektu</w:t>
        </w:r>
        <w:r>
          <w:rPr>
            <w:noProof/>
            <w:webHidden/>
          </w:rPr>
          <w:tab/>
        </w:r>
        <w:r>
          <w:rPr>
            <w:noProof/>
            <w:webHidden/>
          </w:rPr>
          <w:fldChar w:fldCharType="begin"/>
        </w:r>
        <w:r>
          <w:rPr>
            <w:noProof/>
            <w:webHidden/>
          </w:rPr>
          <w:instrText xml:space="preserve"> PAGEREF _Toc445989768 \h </w:instrText>
        </w:r>
        <w:r>
          <w:rPr>
            <w:noProof/>
            <w:webHidden/>
          </w:rPr>
        </w:r>
        <w:r>
          <w:rPr>
            <w:noProof/>
            <w:webHidden/>
          </w:rPr>
          <w:fldChar w:fldCharType="separate"/>
        </w:r>
        <w:r>
          <w:rPr>
            <w:noProof/>
            <w:webHidden/>
          </w:rPr>
          <w:t>13</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69" w:history="1">
        <w:r w:rsidRPr="0080796E">
          <w:rPr>
            <w:rStyle w:val="Hypertextovprepojenie"/>
            <w:rFonts w:ascii="Calibri" w:hAnsi="Calibri"/>
            <w:noProof/>
          </w:rPr>
          <w:t>4.3.1 Oprávnenosť výdavkov</w:t>
        </w:r>
        <w:r>
          <w:rPr>
            <w:noProof/>
            <w:webHidden/>
          </w:rPr>
          <w:tab/>
        </w:r>
        <w:r>
          <w:rPr>
            <w:noProof/>
            <w:webHidden/>
          </w:rPr>
          <w:fldChar w:fldCharType="begin"/>
        </w:r>
        <w:r>
          <w:rPr>
            <w:noProof/>
            <w:webHidden/>
          </w:rPr>
          <w:instrText xml:space="preserve"> PAGEREF _Toc445989769 \h </w:instrText>
        </w:r>
        <w:r>
          <w:rPr>
            <w:noProof/>
            <w:webHidden/>
          </w:rPr>
        </w:r>
        <w:r>
          <w:rPr>
            <w:noProof/>
            <w:webHidden/>
          </w:rPr>
          <w:fldChar w:fldCharType="separate"/>
        </w:r>
        <w:r>
          <w:rPr>
            <w:noProof/>
            <w:webHidden/>
          </w:rPr>
          <w:t>13</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0" w:history="1">
        <w:r w:rsidRPr="0080796E">
          <w:rPr>
            <w:rStyle w:val="Hypertextovprepojenie"/>
            <w:rFonts w:ascii="Calibri" w:hAnsi="Calibri"/>
            <w:noProof/>
          </w:rPr>
          <w:t>4.3.2 Všeobecné podmienky pre úhradu prostriedkov EÚ a ŠR</w:t>
        </w:r>
        <w:r>
          <w:rPr>
            <w:noProof/>
            <w:webHidden/>
          </w:rPr>
          <w:tab/>
        </w:r>
        <w:r>
          <w:rPr>
            <w:noProof/>
            <w:webHidden/>
          </w:rPr>
          <w:fldChar w:fldCharType="begin"/>
        </w:r>
        <w:r>
          <w:rPr>
            <w:noProof/>
            <w:webHidden/>
          </w:rPr>
          <w:instrText xml:space="preserve"> PAGEREF _Toc445989770 \h </w:instrText>
        </w:r>
        <w:r>
          <w:rPr>
            <w:noProof/>
            <w:webHidden/>
          </w:rPr>
        </w:r>
        <w:r>
          <w:rPr>
            <w:noProof/>
            <w:webHidden/>
          </w:rPr>
          <w:fldChar w:fldCharType="separate"/>
        </w:r>
        <w:r>
          <w:rPr>
            <w:noProof/>
            <w:webHidden/>
          </w:rPr>
          <w:t>15</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1" w:history="1">
        <w:r w:rsidRPr="0080796E">
          <w:rPr>
            <w:rStyle w:val="Hypertextovprepojenie"/>
            <w:rFonts w:ascii="Calibri" w:hAnsi="Calibri"/>
            <w:noProof/>
          </w:rPr>
          <w:t>4.3.3 Žiadosť o platbu</w:t>
        </w:r>
        <w:r>
          <w:rPr>
            <w:noProof/>
            <w:webHidden/>
          </w:rPr>
          <w:tab/>
        </w:r>
        <w:r>
          <w:rPr>
            <w:noProof/>
            <w:webHidden/>
          </w:rPr>
          <w:fldChar w:fldCharType="begin"/>
        </w:r>
        <w:r>
          <w:rPr>
            <w:noProof/>
            <w:webHidden/>
          </w:rPr>
          <w:instrText xml:space="preserve"> PAGEREF _Toc445989771 \h </w:instrText>
        </w:r>
        <w:r>
          <w:rPr>
            <w:noProof/>
            <w:webHidden/>
          </w:rPr>
        </w:r>
        <w:r>
          <w:rPr>
            <w:noProof/>
            <w:webHidden/>
          </w:rPr>
          <w:fldChar w:fldCharType="separate"/>
        </w:r>
        <w:r>
          <w:rPr>
            <w:noProof/>
            <w:webHidden/>
          </w:rPr>
          <w:t>16</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2" w:history="1">
        <w:r w:rsidRPr="0080796E">
          <w:rPr>
            <w:rStyle w:val="Hypertextovprepojenie"/>
            <w:rFonts w:ascii="Calibri" w:hAnsi="Calibri"/>
            <w:i/>
            <w:noProof/>
          </w:rPr>
          <w:t>4.3.3.1 Vyplnenie žiadosti o</w:t>
        </w:r>
        <w:r w:rsidRPr="0080796E">
          <w:rPr>
            <w:rStyle w:val="Hypertextovprepojenie"/>
            <w:rFonts w:ascii="Calibri" w:eastAsia="Times New Roman" w:hAnsi="Calibri"/>
            <w:i/>
            <w:noProof/>
          </w:rPr>
          <w:t> </w:t>
        </w:r>
        <w:r w:rsidRPr="0080796E">
          <w:rPr>
            <w:rStyle w:val="Hypertextovprepojenie"/>
            <w:rFonts w:ascii="Calibri" w:hAnsi="Calibri"/>
            <w:i/>
            <w:noProof/>
          </w:rPr>
          <w:t>platbu</w:t>
        </w:r>
        <w:r>
          <w:rPr>
            <w:noProof/>
            <w:webHidden/>
          </w:rPr>
          <w:tab/>
        </w:r>
        <w:r>
          <w:rPr>
            <w:noProof/>
            <w:webHidden/>
          </w:rPr>
          <w:fldChar w:fldCharType="begin"/>
        </w:r>
        <w:r>
          <w:rPr>
            <w:noProof/>
            <w:webHidden/>
          </w:rPr>
          <w:instrText xml:space="preserve"> PAGEREF _Toc445989772 \h </w:instrText>
        </w:r>
        <w:r>
          <w:rPr>
            <w:noProof/>
            <w:webHidden/>
          </w:rPr>
        </w:r>
        <w:r>
          <w:rPr>
            <w:noProof/>
            <w:webHidden/>
          </w:rPr>
          <w:fldChar w:fldCharType="separate"/>
        </w:r>
        <w:r>
          <w:rPr>
            <w:noProof/>
            <w:webHidden/>
          </w:rPr>
          <w:t>17</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3" w:history="1">
        <w:r w:rsidRPr="0080796E">
          <w:rPr>
            <w:rStyle w:val="Hypertextovprepojenie"/>
            <w:rFonts w:ascii="Calibri" w:hAnsi="Calibri"/>
            <w:i/>
            <w:noProof/>
          </w:rPr>
          <w:t>4.3.3.2 Dokumentácia k žiadosti o platbu</w:t>
        </w:r>
        <w:r>
          <w:rPr>
            <w:noProof/>
            <w:webHidden/>
          </w:rPr>
          <w:tab/>
        </w:r>
        <w:r>
          <w:rPr>
            <w:noProof/>
            <w:webHidden/>
          </w:rPr>
          <w:fldChar w:fldCharType="begin"/>
        </w:r>
        <w:r>
          <w:rPr>
            <w:noProof/>
            <w:webHidden/>
          </w:rPr>
          <w:instrText xml:space="preserve"> PAGEREF _Toc445989773 \h </w:instrText>
        </w:r>
        <w:r>
          <w:rPr>
            <w:noProof/>
            <w:webHidden/>
          </w:rPr>
        </w:r>
        <w:r>
          <w:rPr>
            <w:noProof/>
            <w:webHidden/>
          </w:rPr>
          <w:fldChar w:fldCharType="separate"/>
        </w:r>
        <w:r>
          <w:rPr>
            <w:noProof/>
            <w:webHidden/>
          </w:rPr>
          <w:t>18</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4" w:history="1">
        <w:r w:rsidRPr="0080796E">
          <w:rPr>
            <w:rStyle w:val="Hypertextovprepojenie"/>
            <w:rFonts w:ascii="Calibri" w:hAnsi="Calibri"/>
            <w:noProof/>
          </w:rPr>
          <w:t>4.3.4 Účty Prijímateľa</w:t>
        </w:r>
        <w:r>
          <w:rPr>
            <w:noProof/>
            <w:webHidden/>
          </w:rPr>
          <w:tab/>
        </w:r>
        <w:r>
          <w:rPr>
            <w:noProof/>
            <w:webHidden/>
          </w:rPr>
          <w:fldChar w:fldCharType="begin"/>
        </w:r>
        <w:r>
          <w:rPr>
            <w:noProof/>
            <w:webHidden/>
          </w:rPr>
          <w:instrText xml:space="preserve"> PAGEREF _Toc445989774 \h </w:instrText>
        </w:r>
        <w:r>
          <w:rPr>
            <w:noProof/>
            <w:webHidden/>
          </w:rPr>
        </w:r>
        <w:r>
          <w:rPr>
            <w:noProof/>
            <w:webHidden/>
          </w:rPr>
          <w:fldChar w:fldCharType="separate"/>
        </w:r>
        <w:r>
          <w:rPr>
            <w:noProof/>
            <w:webHidden/>
          </w:rPr>
          <w:t>26</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5" w:history="1">
        <w:r w:rsidRPr="0080796E">
          <w:rPr>
            <w:rStyle w:val="Hypertextovprepojenie"/>
            <w:rFonts w:ascii="Calibri" w:hAnsi="Calibri"/>
            <w:noProof/>
          </w:rPr>
          <w:t>4.3.5 Spôsoby financovania projektov</w:t>
        </w:r>
        <w:r>
          <w:rPr>
            <w:noProof/>
            <w:webHidden/>
          </w:rPr>
          <w:tab/>
        </w:r>
        <w:r>
          <w:rPr>
            <w:noProof/>
            <w:webHidden/>
          </w:rPr>
          <w:fldChar w:fldCharType="begin"/>
        </w:r>
        <w:r>
          <w:rPr>
            <w:noProof/>
            <w:webHidden/>
          </w:rPr>
          <w:instrText xml:space="preserve"> PAGEREF _Toc445989775 \h </w:instrText>
        </w:r>
        <w:r>
          <w:rPr>
            <w:noProof/>
            <w:webHidden/>
          </w:rPr>
        </w:r>
        <w:r>
          <w:rPr>
            <w:noProof/>
            <w:webHidden/>
          </w:rPr>
          <w:fldChar w:fldCharType="separate"/>
        </w:r>
        <w:r>
          <w:rPr>
            <w:noProof/>
            <w:webHidden/>
          </w:rPr>
          <w:t>27</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6" w:history="1">
        <w:r w:rsidRPr="0080796E">
          <w:rPr>
            <w:rStyle w:val="Hypertextovprepojenie"/>
            <w:rFonts w:ascii="Calibri" w:hAnsi="Calibri"/>
            <w:i/>
            <w:noProof/>
          </w:rPr>
          <w:t>4.3.5.1 Systém predfinancovania</w:t>
        </w:r>
        <w:r>
          <w:rPr>
            <w:noProof/>
            <w:webHidden/>
          </w:rPr>
          <w:tab/>
        </w:r>
        <w:r>
          <w:rPr>
            <w:noProof/>
            <w:webHidden/>
          </w:rPr>
          <w:fldChar w:fldCharType="begin"/>
        </w:r>
        <w:r>
          <w:rPr>
            <w:noProof/>
            <w:webHidden/>
          </w:rPr>
          <w:instrText xml:space="preserve"> PAGEREF _Toc445989776 \h </w:instrText>
        </w:r>
        <w:r>
          <w:rPr>
            <w:noProof/>
            <w:webHidden/>
          </w:rPr>
        </w:r>
        <w:r>
          <w:rPr>
            <w:noProof/>
            <w:webHidden/>
          </w:rPr>
          <w:fldChar w:fldCharType="separate"/>
        </w:r>
        <w:r>
          <w:rPr>
            <w:noProof/>
            <w:webHidden/>
          </w:rPr>
          <w:t>28</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7" w:history="1">
        <w:r w:rsidRPr="0080796E">
          <w:rPr>
            <w:rStyle w:val="Hypertextovprepojenie"/>
            <w:rFonts w:ascii="Calibri" w:hAnsi="Calibri"/>
            <w:i/>
            <w:noProof/>
          </w:rPr>
          <w:t>4.3.5.2 Systém zálohových platieb</w:t>
        </w:r>
        <w:r>
          <w:rPr>
            <w:noProof/>
            <w:webHidden/>
          </w:rPr>
          <w:tab/>
        </w:r>
        <w:r>
          <w:rPr>
            <w:noProof/>
            <w:webHidden/>
          </w:rPr>
          <w:fldChar w:fldCharType="begin"/>
        </w:r>
        <w:r>
          <w:rPr>
            <w:noProof/>
            <w:webHidden/>
          </w:rPr>
          <w:instrText xml:space="preserve"> PAGEREF _Toc445989777 \h </w:instrText>
        </w:r>
        <w:r>
          <w:rPr>
            <w:noProof/>
            <w:webHidden/>
          </w:rPr>
        </w:r>
        <w:r>
          <w:rPr>
            <w:noProof/>
            <w:webHidden/>
          </w:rPr>
          <w:fldChar w:fldCharType="separate"/>
        </w:r>
        <w:r>
          <w:rPr>
            <w:noProof/>
            <w:webHidden/>
          </w:rPr>
          <w:t>30</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8" w:history="1">
        <w:r w:rsidRPr="0080796E">
          <w:rPr>
            <w:rStyle w:val="Hypertextovprepojenie"/>
            <w:rFonts w:ascii="Calibri" w:hAnsi="Calibri"/>
            <w:i/>
            <w:noProof/>
          </w:rPr>
          <w:t>4.3.5.3 Systém refundácie</w:t>
        </w:r>
        <w:r>
          <w:rPr>
            <w:noProof/>
            <w:webHidden/>
          </w:rPr>
          <w:tab/>
        </w:r>
        <w:r>
          <w:rPr>
            <w:noProof/>
            <w:webHidden/>
          </w:rPr>
          <w:fldChar w:fldCharType="begin"/>
        </w:r>
        <w:r>
          <w:rPr>
            <w:noProof/>
            <w:webHidden/>
          </w:rPr>
          <w:instrText xml:space="preserve"> PAGEREF _Toc445989778 \h </w:instrText>
        </w:r>
        <w:r>
          <w:rPr>
            <w:noProof/>
            <w:webHidden/>
          </w:rPr>
        </w:r>
        <w:r>
          <w:rPr>
            <w:noProof/>
            <w:webHidden/>
          </w:rPr>
          <w:fldChar w:fldCharType="separate"/>
        </w:r>
        <w:r>
          <w:rPr>
            <w:noProof/>
            <w:webHidden/>
          </w:rPr>
          <w:t>31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79" w:history="1">
        <w:r w:rsidRPr="0080796E">
          <w:rPr>
            <w:rStyle w:val="Hypertextovprepojenie"/>
            <w:rFonts w:ascii="Calibri" w:hAnsi="Calibri"/>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_Toc445989779 \h </w:instrText>
        </w:r>
        <w:r>
          <w:rPr>
            <w:noProof/>
            <w:webHidden/>
          </w:rPr>
        </w:r>
        <w:r>
          <w:rPr>
            <w:noProof/>
            <w:webHidden/>
          </w:rPr>
          <w:fldChar w:fldCharType="separate"/>
        </w:r>
        <w:r>
          <w:rPr>
            <w:noProof/>
            <w:webHidden/>
          </w:rPr>
          <w:t>31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0" w:history="1">
        <w:r w:rsidRPr="0080796E">
          <w:rPr>
            <w:rStyle w:val="Hypertextovprepojenie"/>
            <w:rFonts w:ascii="Calibri" w:hAnsi="Calibri"/>
            <w:noProof/>
          </w:rPr>
          <w:t>4.3.6 Nezrovnalosti a vrátenie finančných prostriedkov</w:t>
        </w:r>
        <w:r>
          <w:rPr>
            <w:noProof/>
            <w:webHidden/>
          </w:rPr>
          <w:tab/>
        </w:r>
        <w:r>
          <w:rPr>
            <w:noProof/>
            <w:webHidden/>
          </w:rPr>
          <w:fldChar w:fldCharType="begin"/>
        </w:r>
        <w:r>
          <w:rPr>
            <w:noProof/>
            <w:webHidden/>
          </w:rPr>
          <w:instrText xml:space="preserve"> PAGEREF _Toc445989780 \h </w:instrText>
        </w:r>
        <w:r>
          <w:rPr>
            <w:noProof/>
            <w:webHidden/>
          </w:rPr>
        </w:r>
        <w:r>
          <w:rPr>
            <w:noProof/>
            <w:webHidden/>
          </w:rPr>
          <w:fldChar w:fldCharType="separate"/>
        </w:r>
        <w:r>
          <w:rPr>
            <w:noProof/>
            <w:webHidden/>
          </w:rPr>
          <w:t>31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1" w:history="1">
        <w:r w:rsidRPr="0080796E">
          <w:rPr>
            <w:rStyle w:val="Hypertextovprepojenie"/>
            <w:rFonts w:ascii="Calibri" w:hAnsi="Calibri"/>
            <w:i/>
            <w:noProof/>
          </w:rPr>
          <w:t>4.3.6.1 Nezrovnalosť</w:t>
        </w:r>
        <w:r>
          <w:rPr>
            <w:noProof/>
            <w:webHidden/>
          </w:rPr>
          <w:tab/>
        </w:r>
        <w:r>
          <w:rPr>
            <w:noProof/>
            <w:webHidden/>
          </w:rPr>
          <w:fldChar w:fldCharType="begin"/>
        </w:r>
        <w:r>
          <w:rPr>
            <w:noProof/>
            <w:webHidden/>
          </w:rPr>
          <w:instrText xml:space="preserve"> PAGEREF _Toc445989781 \h </w:instrText>
        </w:r>
        <w:r>
          <w:rPr>
            <w:noProof/>
            <w:webHidden/>
          </w:rPr>
        </w:r>
        <w:r>
          <w:rPr>
            <w:noProof/>
            <w:webHidden/>
          </w:rPr>
          <w:fldChar w:fldCharType="separate"/>
        </w:r>
        <w:r>
          <w:rPr>
            <w:noProof/>
            <w:webHidden/>
          </w:rPr>
          <w:t>31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2" w:history="1">
        <w:r w:rsidRPr="0080796E">
          <w:rPr>
            <w:rStyle w:val="Hypertextovprepojenie"/>
            <w:rFonts w:ascii="Calibri" w:hAnsi="Calibri"/>
            <w:i/>
            <w:noProof/>
          </w:rPr>
          <w:t>4.3.6.2 Vysporiadanie finančných vzťahov</w:t>
        </w:r>
        <w:r>
          <w:rPr>
            <w:noProof/>
            <w:webHidden/>
          </w:rPr>
          <w:tab/>
        </w:r>
        <w:r>
          <w:rPr>
            <w:noProof/>
            <w:webHidden/>
          </w:rPr>
          <w:fldChar w:fldCharType="begin"/>
        </w:r>
        <w:r>
          <w:rPr>
            <w:noProof/>
            <w:webHidden/>
          </w:rPr>
          <w:instrText xml:space="preserve"> PAGEREF _Toc445989782 \h </w:instrText>
        </w:r>
        <w:r>
          <w:rPr>
            <w:noProof/>
            <w:webHidden/>
          </w:rPr>
        </w:r>
        <w:r>
          <w:rPr>
            <w:noProof/>
            <w:webHidden/>
          </w:rPr>
          <w:fldChar w:fldCharType="separate"/>
        </w:r>
        <w:r>
          <w:rPr>
            <w:noProof/>
            <w:webHidden/>
          </w:rPr>
          <w:t>34</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3" w:history="1">
        <w:r w:rsidRPr="0080796E">
          <w:rPr>
            <w:rStyle w:val="Hypertextovprepojenie"/>
            <w:rFonts w:ascii="Calibri" w:hAnsi="Calibri"/>
            <w:noProof/>
          </w:rPr>
          <w:t>4.3.7 Odvod výnosov</w:t>
        </w:r>
        <w:r>
          <w:rPr>
            <w:noProof/>
            <w:webHidden/>
          </w:rPr>
          <w:tab/>
        </w:r>
        <w:r>
          <w:rPr>
            <w:noProof/>
            <w:webHidden/>
          </w:rPr>
          <w:fldChar w:fldCharType="begin"/>
        </w:r>
        <w:r>
          <w:rPr>
            <w:noProof/>
            <w:webHidden/>
          </w:rPr>
          <w:instrText xml:space="preserve"> PAGEREF _Toc445989783 \h </w:instrText>
        </w:r>
        <w:r>
          <w:rPr>
            <w:noProof/>
            <w:webHidden/>
          </w:rPr>
        </w:r>
        <w:r>
          <w:rPr>
            <w:noProof/>
            <w:webHidden/>
          </w:rPr>
          <w:fldChar w:fldCharType="separate"/>
        </w:r>
        <w:r>
          <w:rPr>
            <w:noProof/>
            <w:webHidden/>
          </w:rPr>
          <w:t>36</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4" w:history="1">
        <w:r w:rsidRPr="0080796E">
          <w:rPr>
            <w:rStyle w:val="Hypertextovprepojenie"/>
            <w:rFonts w:ascii="Calibri" w:hAnsi="Calibri"/>
            <w:noProof/>
          </w:rPr>
          <w:t>4.3.8 Účtovníctvo projektu</w:t>
        </w:r>
        <w:r>
          <w:rPr>
            <w:noProof/>
            <w:webHidden/>
          </w:rPr>
          <w:tab/>
        </w:r>
        <w:r>
          <w:rPr>
            <w:noProof/>
            <w:webHidden/>
          </w:rPr>
          <w:fldChar w:fldCharType="begin"/>
        </w:r>
        <w:r>
          <w:rPr>
            <w:noProof/>
            <w:webHidden/>
          </w:rPr>
          <w:instrText xml:space="preserve"> PAGEREF _Toc445989784 \h </w:instrText>
        </w:r>
        <w:r>
          <w:rPr>
            <w:noProof/>
            <w:webHidden/>
          </w:rPr>
        </w:r>
        <w:r>
          <w:rPr>
            <w:noProof/>
            <w:webHidden/>
          </w:rPr>
          <w:fldChar w:fldCharType="separate"/>
        </w:r>
        <w:r>
          <w:rPr>
            <w:noProof/>
            <w:webHidden/>
          </w:rPr>
          <w:t>37</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785" w:history="1">
        <w:r w:rsidRPr="0080796E">
          <w:rPr>
            <w:rStyle w:val="Hypertextovprepojenie"/>
            <w:rFonts w:ascii="Calibri" w:hAnsi="Calibri"/>
            <w:noProof/>
          </w:rPr>
          <w:t>4.4 Monitorovanie projektov</w:t>
        </w:r>
        <w:r>
          <w:rPr>
            <w:noProof/>
            <w:webHidden/>
          </w:rPr>
          <w:tab/>
        </w:r>
        <w:r>
          <w:rPr>
            <w:noProof/>
            <w:webHidden/>
          </w:rPr>
          <w:fldChar w:fldCharType="begin"/>
        </w:r>
        <w:r>
          <w:rPr>
            <w:noProof/>
            <w:webHidden/>
          </w:rPr>
          <w:instrText xml:space="preserve"> PAGEREF _Toc445989785 \h </w:instrText>
        </w:r>
        <w:r>
          <w:rPr>
            <w:noProof/>
            <w:webHidden/>
          </w:rPr>
        </w:r>
        <w:r>
          <w:rPr>
            <w:noProof/>
            <w:webHidden/>
          </w:rPr>
          <w:fldChar w:fldCharType="separate"/>
        </w:r>
        <w:r>
          <w:rPr>
            <w:noProof/>
            <w:webHidden/>
          </w:rPr>
          <w:t>39</w:t>
        </w:r>
        <w:r>
          <w:rPr>
            <w:noProof/>
            <w:webHidden/>
          </w:rPr>
          <w:fldChar w:fldCharType="end"/>
        </w:r>
      </w:hyperlink>
    </w:p>
    <w:p w:rsidR="00997898" w:rsidRDefault="00997898">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45989786" w:history="1">
        <w:r w:rsidRPr="0080796E">
          <w:rPr>
            <w:rStyle w:val="Hypertextovprepojenie"/>
            <w:rFonts w:ascii="Calibri" w:hAnsi="Calibri"/>
            <w:noProof/>
          </w:rPr>
          <w:t>4.4.1</w:t>
        </w:r>
        <w:r>
          <w:rPr>
            <w:rFonts w:asciiTheme="minorHAnsi" w:eastAsiaTheme="minorEastAsia" w:hAnsiTheme="minorHAnsi" w:cstheme="minorBidi"/>
            <w:noProof/>
            <w:sz w:val="22"/>
            <w:szCs w:val="22"/>
            <w:lang w:eastAsia="sk-SK"/>
          </w:rPr>
          <w:tab/>
        </w:r>
        <w:r w:rsidRPr="0080796E">
          <w:rPr>
            <w:rStyle w:val="Hypertextovprepojenie"/>
            <w:rFonts w:ascii="Calibri" w:hAnsi="Calibri"/>
            <w:noProof/>
          </w:rPr>
          <w:t>Monitorovanie počas realizácie projektov</w:t>
        </w:r>
        <w:r>
          <w:rPr>
            <w:noProof/>
            <w:webHidden/>
          </w:rPr>
          <w:tab/>
        </w:r>
        <w:r>
          <w:rPr>
            <w:noProof/>
            <w:webHidden/>
          </w:rPr>
          <w:fldChar w:fldCharType="begin"/>
        </w:r>
        <w:r>
          <w:rPr>
            <w:noProof/>
            <w:webHidden/>
          </w:rPr>
          <w:instrText xml:space="preserve"> PAGEREF _Toc445989786 \h </w:instrText>
        </w:r>
        <w:r>
          <w:rPr>
            <w:noProof/>
            <w:webHidden/>
          </w:rPr>
        </w:r>
        <w:r>
          <w:rPr>
            <w:noProof/>
            <w:webHidden/>
          </w:rPr>
          <w:fldChar w:fldCharType="separate"/>
        </w:r>
        <w:r>
          <w:rPr>
            <w:noProof/>
            <w:webHidden/>
          </w:rPr>
          <w:t>40</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7" w:history="1">
        <w:r w:rsidRPr="0080796E">
          <w:rPr>
            <w:rStyle w:val="Hypertextovprepojenie"/>
            <w:rFonts w:ascii="Calibri" w:hAnsi="Calibri"/>
            <w:noProof/>
          </w:rPr>
          <w:t>4.4.2 Monitorovanie pri ukončení realizácie projektov</w:t>
        </w:r>
        <w:r>
          <w:rPr>
            <w:noProof/>
            <w:webHidden/>
          </w:rPr>
          <w:tab/>
        </w:r>
        <w:r>
          <w:rPr>
            <w:noProof/>
            <w:webHidden/>
          </w:rPr>
          <w:fldChar w:fldCharType="begin"/>
        </w:r>
        <w:r>
          <w:rPr>
            <w:noProof/>
            <w:webHidden/>
          </w:rPr>
          <w:instrText xml:space="preserve"> PAGEREF _Toc445989787 \h </w:instrText>
        </w:r>
        <w:r>
          <w:rPr>
            <w:noProof/>
            <w:webHidden/>
          </w:rPr>
        </w:r>
        <w:r>
          <w:rPr>
            <w:noProof/>
            <w:webHidden/>
          </w:rPr>
          <w:fldChar w:fldCharType="separate"/>
        </w:r>
        <w:r>
          <w:rPr>
            <w:noProof/>
            <w:webHidden/>
          </w:rPr>
          <w:t>40</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788" w:history="1">
        <w:r w:rsidRPr="0080796E">
          <w:rPr>
            <w:rStyle w:val="Hypertextovprepojenie"/>
            <w:rFonts w:ascii="Calibri" w:hAnsi="Calibri"/>
            <w:noProof/>
          </w:rPr>
          <w:t>4.5 Zmeny projektu</w:t>
        </w:r>
        <w:r>
          <w:rPr>
            <w:noProof/>
            <w:webHidden/>
          </w:rPr>
          <w:tab/>
        </w:r>
        <w:r>
          <w:rPr>
            <w:noProof/>
            <w:webHidden/>
          </w:rPr>
          <w:fldChar w:fldCharType="begin"/>
        </w:r>
        <w:r>
          <w:rPr>
            <w:noProof/>
            <w:webHidden/>
          </w:rPr>
          <w:instrText xml:space="preserve"> PAGEREF _Toc445989788 \h </w:instrText>
        </w:r>
        <w:r>
          <w:rPr>
            <w:noProof/>
            <w:webHidden/>
          </w:rPr>
        </w:r>
        <w:r>
          <w:rPr>
            <w:noProof/>
            <w:webHidden/>
          </w:rPr>
          <w:fldChar w:fldCharType="separate"/>
        </w:r>
        <w:r>
          <w:rPr>
            <w:noProof/>
            <w:webHidden/>
          </w:rPr>
          <w:t>41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89" w:history="1">
        <w:r w:rsidRPr="0080796E">
          <w:rPr>
            <w:rStyle w:val="Hypertextovprepojenie"/>
            <w:rFonts w:ascii="Calibri" w:hAnsi="Calibri"/>
            <w:noProof/>
          </w:rPr>
          <w:t>4.5.1 Zmenové konanie z iniciatívy Prijímateľa</w:t>
        </w:r>
        <w:r>
          <w:rPr>
            <w:noProof/>
            <w:webHidden/>
          </w:rPr>
          <w:tab/>
        </w:r>
        <w:r>
          <w:rPr>
            <w:noProof/>
            <w:webHidden/>
          </w:rPr>
          <w:fldChar w:fldCharType="begin"/>
        </w:r>
        <w:r>
          <w:rPr>
            <w:noProof/>
            <w:webHidden/>
          </w:rPr>
          <w:instrText xml:space="preserve"> PAGEREF _Toc445989789 \h </w:instrText>
        </w:r>
        <w:r>
          <w:rPr>
            <w:noProof/>
            <w:webHidden/>
          </w:rPr>
        </w:r>
        <w:r>
          <w:rPr>
            <w:noProof/>
            <w:webHidden/>
          </w:rPr>
          <w:fldChar w:fldCharType="separate"/>
        </w:r>
        <w:r>
          <w:rPr>
            <w:noProof/>
            <w:webHidden/>
          </w:rPr>
          <w:t>44</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0" w:history="1">
        <w:r w:rsidRPr="0080796E">
          <w:rPr>
            <w:rStyle w:val="Hypertextovprepojenie"/>
            <w:rFonts w:ascii="Calibri" w:hAnsi="Calibri"/>
            <w:i/>
            <w:noProof/>
          </w:rPr>
          <w:t>4.5.1.1 Formálna zmena</w:t>
        </w:r>
        <w:r>
          <w:rPr>
            <w:noProof/>
            <w:webHidden/>
          </w:rPr>
          <w:tab/>
        </w:r>
        <w:r>
          <w:rPr>
            <w:noProof/>
            <w:webHidden/>
          </w:rPr>
          <w:fldChar w:fldCharType="begin"/>
        </w:r>
        <w:r>
          <w:rPr>
            <w:noProof/>
            <w:webHidden/>
          </w:rPr>
          <w:instrText xml:space="preserve"> PAGEREF _Toc445989790 \h </w:instrText>
        </w:r>
        <w:r>
          <w:rPr>
            <w:noProof/>
            <w:webHidden/>
          </w:rPr>
        </w:r>
        <w:r>
          <w:rPr>
            <w:noProof/>
            <w:webHidden/>
          </w:rPr>
          <w:fldChar w:fldCharType="separate"/>
        </w:r>
        <w:r>
          <w:rPr>
            <w:noProof/>
            <w:webHidden/>
          </w:rPr>
          <w:t>44</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1" w:history="1">
        <w:r w:rsidRPr="0080796E">
          <w:rPr>
            <w:rStyle w:val="Hypertextovprepojenie"/>
            <w:rFonts w:ascii="Calibri" w:hAnsi="Calibri"/>
            <w:i/>
            <w:noProof/>
          </w:rPr>
          <w:t>4.5.1.2 Menej významná zmena projektu</w:t>
        </w:r>
        <w:r>
          <w:rPr>
            <w:noProof/>
            <w:webHidden/>
          </w:rPr>
          <w:tab/>
        </w:r>
        <w:r>
          <w:rPr>
            <w:noProof/>
            <w:webHidden/>
          </w:rPr>
          <w:fldChar w:fldCharType="begin"/>
        </w:r>
        <w:r>
          <w:rPr>
            <w:noProof/>
            <w:webHidden/>
          </w:rPr>
          <w:instrText xml:space="preserve"> PAGEREF _Toc445989791 \h </w:instrText>
        </w:r>
        <w:r>
          <w:rPr>
            <w:noProof/>
            <w:webHidden/>
          </w:rPr>
        </w:r>
        <w:r>
          <w:rPr>
            <w:noProof/>
            <w:webHidden/>
          </w:rPr>
          <w:fldChar w:fldCharType="separate"/>
        </w:r>
        <w:r>
          <w:rPr>
            <w:noProof/>
            <w:webHidden/>
          </w:rPr>
          <w:t>45</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2" w:history="1">
        <w:r w:rsidRPr="0080796E">
          <w:rPr>
            <w:rStyle w:val="Hypertextovprepojenie"/>
            <w:rFonts w:ascii="Calibri" w:hAnsi="Calibri"/>
            <w:i/>
            <w:noProof/>
          </w:rPr>
          <w:t>4.5.1.3 Významnejšia zmena projektu</w:t>
        </w:r>
        <w:r>
          <w:rPr>
            <w:noProof/>
            <w:webHidden/>
          </w:rPr>
          <w:tab/>
        </w:r>
        <w:r>
          <w:rPr>
            <w:noProof/>
            <w:webHidden/>
          </w:rPr>
          <w:fldChar w:fldCharType="begin"/>
        </w:r>
        <w:r>
          <w:rPr>
            <w:noProof/>
            <w:webHidden/>
          </w:rPr>
          <w:instrText xml:space="preserve"> PAGEREF _Toc445989792 \h </w:instrText>
        </w:r>
        <w:r>
          <w:rPr>
            <w:noProof/>
            <w:webHidden/>
          </w:rPr>
        </w:r>
        <w:r>
          <w:rPr>
            <w:noProof/>
            <w:webHidden/>
          </w:rPr>
          <w:fldChar w:fldCharType="separate"/>
        </w:r>
        <w:r>
          <w:rPr>
            <w:noProof/>
            <w:webHidden/>
          </w:rPr>
          <w:t>46</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3" w:history="1">
        <w:r w:rsidRPr="0080796E">
          <w:rPr>
            <w:rStyle w:val="Hypertextovprepojenie"/>
            <w:rFonts w:ascii="Calibri" w:hAnsi="Calibri"/>
            <w:i/>
            <w:noProof/>
          </w:rPr>
          <w:t>4.5.1.3.1 Zmena miesta realizácie projektu</w:t>
        </w:r>
        <w:r>
          <w:rPr>
            <w:noProof/>
            <w:webHidden/>
          </w:rPr>
          <w:tab/>
        </w:r>
        <w:r>
          <w:rPr>
            <w:noProof/>
            <w:webHidden/>
          </w:rPr>
          <w:fldChar w:fldCharType="begin"/>
        </w:r>
        <w:r>
          <w:rPr>
            <w:noProof/>
            <w:webHidden/>
          </w:rPr>
          <w:instrText xml:space="preserve"> PAGEREF _Toc445989793 \h </w:instrText>
        </w:r>
        <w:r>
          <w:rPr>
            <w:noProof/>
            <w:webHidden/>
          </w:rPr>
        </w:r>
        <w:r>
          <w:rPr>
            <w:noProof/>
            <w:webHidden/>
          </w:rPr>
          <w:fldChar w:fldCharType="separate"/>
        </w:r>
        <w:r>
          <w:rPr>
            <w:noProof/>
            <w:webHidden/>
          </w:rPr>
          <w:t>47</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4" w:history="1">
        <w:r w:rsidRPr="0080796E">
          <w:rPr>
            <w:rStyle w:val="Hypertextovprepojenie"/>
            <w:rFonts w:ascii="Calibri" w:hAnsi="Calibri"/>
            <w:i/>
            <w:noProof/>
          </w:rPr>
          <w:t>4.5.1.3.2 Zmena merateľných ukazovateľov projektu</w:t>
        </w:r>
        <w:r>
          <w:rPr>
            <w:noProof/>
            <w:webHidden/>
          </w:rPr>
          <w:tab/>
        </w:r>
        <w:r>
          <w:rPr>
            <w:noProof/>
            <w:webHidden/>
          </w:rPr>
          <w:fldChar w:fldCharType="begin"/>
        </w:r>
        <w:r>
          <w:rPr>
            <w:noProof/>
            <w:webHidden/>
          </w:rPr>
          <w:instrText xml:space="preserve"> PAGEREF _Toc445989794 \h </w:instrText>
        </w:r>
        <w:r>
          <w:rPr>
            <w:noProof/>
            <w:webHidden/>
          </w:rPr>
        </w:r>
        <w:r>
          <w:rPr>
            <w:noProof/>
            <w:webHidden/>
          </w:rPr>
          <w:fldChar w:fldCharType="separate"/>
        </w:r>
        <w:r>
          <w:rPr>
            <w:noProof/>
            <w:webHidden/>
          </w:rPr>
          <w:t>47</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5" w:history="1">
        <w:r w:rsidRPr="0080796E">
          <w:rPr>
            <w:rStyle w:val="Hypertextovprepojenie"/>
            <w:rFonts w:ascii="Calibri" w:hAnsi="Calibri"/>
            <w:i/>
            <w:noProof/>
          </w:rPr>
          <w:t>4.5.1.3.3 Zmena začatia realizácie hlavných aktivít projektu</w:t>
        </w:r>
        <w:r>
          <w:rPr>
            <w:noProof/>
            <w:webHidden/>
          </w:rPr>
          <w:tab/>
        </w:r>
        <w:r>
          <w:rPr>
            <w:noProof/>
            <w:webHidden/>
          </w:rPr>
          <w:fldChar w:fldCharType="begin"/>
        </w:r>
        <w:r>
          <w:rPr>
            <w:noProof/>
            <w:webHidden/>
          </w:rPr>
          <w:instrText xml:space="preserve"> PAGEREF _Toc445989795 \h </w:instrText>
        </w:r>
        <w:r>
          <w:rPr>
            <w:noProof/>
            <w:webHidden/>
          </w:rPr>
        </w:r>
        <w:r>
          <w:rPr>
            <w:noProof/>
            <w:webHidden/>
          </w:rPr>
          <w:fldChar w:fldCharType="separate"/>
        </w:r>
        <w:r>
          <w:rPr>
            <w:noProof/>
            <w:webHidden/>
          </w:rPr>
          <w:t>48</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6" w:history="1">
        <w:r w:rsidRPr="0080796E">
          <w:rPr>
            <w:rStyle w:val="Hypertextovprepojenie"/>
            <w:rFonts w:ascii="Calibri" w:hAnsi="Calibri"/>
            <w:i/>
            <w:noProof/>
          </w:rPr>
          <w:t>4.5.1.3.4 Predĺženie realizácie hlavných aktivít projektu</w:t>
        </w:r>
        <w:r>
          <w:rPr>
            <w:noProof/>
            <w:webHidden/>
          </w:rPr>
          <w:tab/>
        </w:r>
        <w:r>
          <w:rPr>
            <w:noProof/>
            <w:webHidden/>
          </w:rPr>
          <w:fldChar w:fldCharType="begin"/>
        </w:r>
        <w:r>
          <w:rPr>
            <w:noProof/>
            <w:webHidden/>
          </w:rPr>
          <w:instrText xml:space="preserve"> PAGEREF _Toc445989796 \h </w:instrText>
        </w:r>
        <w:r>
          <w:rPr>
            <w:noProof/>
            <w:webHidden/>
          </w:rPr>
        </w:r>
        <w:r>
          <w:rPr>
            <w:noProof/>
            <w:webHidden/>
          </w:rPr>
          <w:fldChar w:fldCharType="separate"/>
        </w:r>
        <w:r>
          <w:rPr>
            <w:noProof/>
            <w:webHidden/>
          </w:rPr>
          <w:t>49</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7" w:history="1">
        <w:r w:rsidRPr="0080796E">
          <w:rPr>
            <w:rStyle w:val="Hypertextovprepojenie"/>
            <w:rFonts w:ascii="Calibri" w:hAnsi="Calibri"/>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_Toc445989797 \h </w:instrText>
        </w:r>
        <w:r>
          <w:rPr>
            <w:noProof/>
            <w:webHidden/>
          </w:rPr>
        </w:r>
        <w:r>
          <w:rPr>
            <w:noProof/>
            <w:webHidden/>
          </w:rPr>
          <w:fldChar w:fldCharType="separate"/>
        </w:r>
        <w:r>
          <w:rPr>
            <w:noProof/>
            <w:webHidden/>
          </w:rPr>
          <w:t>50</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8" w:history="1">
        <w:r w:rsidRPr="0080796E">
          <w:rPr>
            <w:rStyle w:val="Hypertextovprepojenie"/>
            <w:rFonts w:ascii="Calibri" w:hAnsi="Calibri"/>
            <w:i/>
            <w:noProof/>
          </w:rPr>
          <w:t>4.5.1.3.6 Zmena majetkovo - právnych pomerov týkajúcich sa predmetu projektu</w:t>
        </w:r>
        <w:r>
          <w:rPr>
            <w:noProof/>
            <w:webHidden/>
          </w:rPr>
          <w:tab/>
        </w:r>
        <w:r>
          <w:rPr>
            <w:noProof/>
            <w:webHidden/>
          </w:rPr>
          <w:fldChar w:fldCharType="begin"/>
        </w:r>
        <w:r>
          <w:rPr>
            <w:noProof/>
            <w:webHidden/>
          </w:rPr>
          <w:instrText xml:space="preserve"> PAGEREF _Toc445989798 \h </w:instrText>
        </w:r>
        <w:r>
          <w:rPr>
            <w:noProof/>
            <w:webHidden/>
          </w:rPr>
        </w:r>
        <w:r>
          <w:rPr>
            <w:noProof/>
            <w:webHidden/>
          </w:rPr>
          <w:fldChar w:fldCharType="separate"/>
        </w:r>
        <w:r>
          <w:rPr>
            <w:noProof/>
            <w:webHidden/>
          </w:rPr>
          <w:t>50</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799" w:history="1">
        <w:r w:rsidRPr="0080796E">
          <w:rPr>
            <w:rStyle w:val="Hypertextovprepojenie"/>
            <w:rFonts w:ascii="Calibri" w:hAnsi="Calibri"/>
            <w:i/>
            <w:noProof/>
          </w:rPr>
          <w:t>4.5.1.4 Podstatná zmena projektu</w:t>
        </w:r>
        <w:r>
          <w:rPr>
            <w:noProof/>
            <w:webHidden/>
          </w:rPr>
          <w:tab/>
        </w:r>
        <w:r>
          <w:rPr>
            <w:noProof/>
            <w:webHidden/>
          </w:rPr>
          <w:fldChar w:fldCharType="begin"/>
        </w:r>
        <w:r>
          <w:rPr>
            <w:noProof/>
            <w:webHidden/>
          </w:rPr>
          <w:instrText xml:space="preserve"> PAGEREF _Toc445989799 \h </w:instrText>
        </w:r>
        <w:r>
          <w:rPr>
            <w:noProof/>
            <w:webHidden/>
          </w:rPr>
        </w:r>
        <w:r>
          <w:rPr>
            <w:noProof/>
            <w:webHidden/>
          </w:rPr>
          <w:fldChar w:fldCharType="separate"/>
        </w:r>
        <w:r>
          <w:rPr>
            <w:noProof/>
            <w:webHidden/>
          </w:rPr>
          <w:t>50</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0" w:history="1">
        <w:r w:rsidRPr="0080796E">
          <w:rPr>
            <w:rStyle w:val="Hypertextovprepojenie"/>
            <w:rFonts w:ascii="Calibri" w:hAnsi="Calibri"/>
            <w:noProof/>
          </w:rPr>
          <w:t>4.5.2 Zmenové konanie z iniciatívy Poskytovateľa</w:t>
        </w:r>
        <w:r>
          <w:rPr>
            <w:noProof/>
            <w:webHidden/>
          </w:rPr>
          <w:tab/>
        </w:r>
        <w:r>
          <w:rPr>
            <w:noProof/>
            <w:webHidden/>
          </w:rPr>
          <w:fldChar w:fldCharType="begin"/>
        </w:r>
        <w:r>
          <w:rPr>
            <w:noProof/>
            <w:webHidden/>
          </w:rPr>
          <w:instrText xml:space="preserve"> PAGEREF _Toc445989800 \h </w:instrText>
        </w:r>
        <w:r>
          <w:rPr>
            <w:noProof/>
            <w:webHidden/>
          </w:rPr>
        </w:r>
        <w:r>
          <w:rPr>
            <w:noProof/>
            <w:webHidden/>
          </w:rPr>
          <w:fldChar w:fldCharType="separate"/>
        </w:r>
        <w:r>
          <w:rPr>
            <w:noProof/>
            <w:webHidden/>
          </w:rPr>
          <w:t>51</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1" w:history="1">
        <w:r w:rsidRPr="0080796E">
          <w:rPr>
            <w:rStyle w:val="Hypertextovprepojenie"/>
            <w:rFonts w:ascii="Calibri" w:hAnsi="Calibri"/>
            <w:i/>
            <w:noProof/>
          </w:rPr>
          <w:t>4.5.2.1 Zmena VZP</w:t>
        </w:r>
        <w:r>
          <w:rPr>
            <w:noProof/>
            <w:webHidden/>
          </w:rPr>
          <w:tab/>
        </w:r>
        <w:r>
          <w:rPr>
            <w:noProof/>
            <w:webHidden/>
          </w:rPr>
          <w:fldChar w:fldCharType="begin"/>
        </w:r>
        <w:r>
          <w:rPr>
            <w:noProof/>
            <w:webHidden/>
          </w:rPr>
          <w:instrText xml:space="preserve"> PAGEREF _Toc445989801 \h </w:instrText>
        </w:r>
        <w:r>
          <w:rPr>
            <w:noProof/>
            <w:webHidden/>
          </w:rPr>
        </w:r>
        <w:r>
          <w:rPr>
            <w:noProof/>
            <w:webHidden/>
          </w:rPr>
          <w:fldChar w:fldCharType="separate"/>
        </w:r>
        <w:r>
          <w:rPr>
            <w:noProof/>
            <w:webHidden/>
          </w:rPr>
          <w:t>51</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802" w:history="1">
        <w:r w:rsidRPr="0080796E">
          <w:rPr>
            <w:rStyle w:val="Hypertextovprepojenie"/>
            <w:rFonts w:ascii="Calibri" w:hAnsi="Calibri"/>
            <w:noProof/>
          </w:rPr>
          <w:t>4.6 Kontrola projektu</w:t>
        </w:r>
        <w:r>
          <w:rPr>
            <w:noProof/>
            <w:webHidden/>
          </w:rPr>
          <w:tab/>
        </w:r>
        <w:r>
          <w:rPr>
            <w:noProof/>
            <w:webHidden/>
          </w:rPr>
          <w:fldChar w:fldCharType="begin"/>
        </w:r>
        <w:r>
          <w:rPr>
            <w:noProof/>
            <w:webHidden/>
          </w:rPr>
          <w:instrText xml:space="preserve"> PAGEREF _Toc445989802 \h </w:instrText>
        </w:r>
        <w:r>
          <w:rPr>
            <w:noProof/>
            <w:webHidden/>
          </w:rPr>
        </w:r>
        <w:r>
          <w:rPr>
            <w:noProof/>
            <w:webHidden/>
          </w:rPr>
          <w:fldChar w:fldCharType="separate"/>
        </w:r>
        <w:r>
          <w:rPr>
            <w:noProof/>
            <w:webHidden/>
          </w:rPr>
          <w:t>52</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3" w:history="1">
        <w:r w:rsidRPr="0080796E">
          <w:rPr>
            <w:rStyle w:val="Hypertextovprepojenie"/>
            <w:rFonts w:ascii="Calibri" w:hAnsi="Calibri"/>
            <w:noProof/>
          </w:rPr>
          <w:t>4.6.1 Administratívna finančná kontrola Prijímateľa</w:t>
        </w:r>
        <w:r>
          <w:rPr>
            <w:noProof/>
            <w:webHidden/>
          </w:rPr>
          <w:tab/>
        </w:r>
        <w:r>
          <w:rPr>
            <w:noProof/>
            <w:webHidden/>
          </w:rPr>
          <w:fldChar w:fldCharType="begin"/>
        </w:r>
        <w:r>
          <w:rPr>
            <w:noProof/>
            <w:webHidden/>
          </w:rPr>
          <w:instrText xml:space="preserve"> PAGEREF _Toc445989803 \h </w:instrText>
        </w:r>
        <w:r>
          <w:rPr>
            <w:noProof/>
            <w:webHidden/>
          </w:rPr>
        </w:r>
        <w:r>
          <w:rPr>
            <w:noProof/>
            <w:webHidden/>
          </w:rPr>
          <w:fldChar w:fldCharType="separate"/>
        </w:r>
        <w:r>
          <w:rPr>
            <w:noProof/>
            <w:webHidden/>
          </w:rPr>
          <w:t>54</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4" w:history="1">
        <w:r w:rsidRPr="0080796E">
          <w:rPr>
            <w:rStyle w:val="Hypertextovprepojenie"/>
            <w:rFonts w:ascii="Calibri" w:hAnsi="Calibri"/>
            <w:i/>
            <w:noProof/>
          </w:rPr>
          <w:t>4.6.1.1 Kontrola verejného obstarávania</w:t>
        </w:r>
        <w:r>
          <w:rPr>
            <w:noProof/>
            <w:webHidden/>
          </w:rPr>
          <w:tab/>
        </w:r>
        <w:r>
          <w:rPr>
            <w:noProof/>
            <w:webHidden/>
          </w:rPr>
          <w:fldChar w:fldCharType="begin"/>
        </w:r>
        <w:r>
          <w:rPr>
            <w:noProof/>
            <w:webHidden/>
          </w:rPr>
          <w:instrText xml:space="preserve"> PAGEREF _Toc445989804 \h </w:instrText>
        </w:r>
        <w:r>
          <w:rPr>
            <w:noProof/>
            <w:webHidden/>
          </w:rPr>
        </w:r>
        <w:r>
          <w:rPr>
            <w:noProof/>
            <w:webHidden/>
          </w:rPr>
          <w:fldChar w:fldCharType="separate"/>
        </w:r>
        <w:r>
          <w:rPr>
            <w:noProof/>
            <w:webHidden/>
          </w:rPr>
          <w:t>55</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5" w:history="1">
        <w:r w:rsidRPr="0080796E">
          <w:rPr>
            <w:rStyle w:val="Hypertextovprepojenie"/>
            <w:rFonts w:ascii="Calibri" w:hAnsi="Calibri"/>
            <w:i/>
            <w:noProof/>
          </w:rPr>
          <w:t>4.6.1.2 Kontrola žiadosti o platbu</w:t>
        </w:r>
        <w:r>
          <w:rPr>
            <w:noProof/>
            <w:webHidden/>
          </w:rPr>
          <w:tab/>
        </w:r>
        <w:r>
          <w:rPr>
            <w:noProof/>
            <w:webHidden/>
          </w:rPr>
          <w:fldChar w:fldCharType="begin"/>
        </w:r>
        <w:r>
          <w:rPr>
            <w:noProof/>
            <w:webHidden/>
          </w:rPr>
          <w:instrText xml:space="preserve"> PAGEREF _Toc445989805 \h </w:instrText>
        </w:r>
        <w:r>
          <w:rPr>
            <w:noProof/>
            <w:webHidden/>
          </w:rPr>
        </w:r>
        <w:r>
          <w:rPr>
            <w:noProof/>
            <w:webHidden/>
          </w:rPr>
          <w:fldChar w:fldCharType="separate"/>
        </w:r>
        <w:r>
          <w:rPr>
            <w:noProof/>
            <w:webHidden/>
          </w:rPr>
          <w:t>55</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6" w:history="1">
        <w:r w:rsidRPr="0080796E">
          <w:rPr>
            <w:rStyle w:val="Hypertextovprepojenie"/>
            <w:rFonts w:ascii="Calibri" w:hAnsi="Calibri"/>
            <w:noProof/>
          </w:rPr>
          <w:t>4.6.2 Finančná kontrola na mieste</w:t>
        </w:r>
        <w:r>
          <w:rPr>
            <w:noProof/>
            <w:webHidden/>
          </w:rPr>
          <w:tab/>
        </w:r>
        <w:r>
          <w:rPr>
            <w:noProof/>
            <w:webHidden/>
          </w:rPr>
          <w:fldChar w:fldCharType="begin"/>
        </w:r>
        <w:r>
          <w:rPr>
            <w:noProof/>
            <w:webHidden/>
          </w:rPr>
          <w:instrText xml:space="preserve"> PAGEREF _Toc445989806 \h </w:instrText>
        </w:r>
        <w:r>
          <w:rPr>
            <w:noProof/>
            <w:webHidden/>
          </w:rPr>
        </w:r>
        <w:r>
          <w:rPr>
            <w:noProof/>
            <w:webHidden/>
          </w:rPr>
          <w:fldChar w:fldCharType="separate"/>
        </w:r>
        <w:r>
          <w:rPr>
            <w:noProof/>
            <w:webHidden/>
          </w:rPr>
          <w:t>56</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807" w:history="1">
        <w:r w:rsidRPr="0080796E">
          <w:rPr>
            <w:rStyle w:val="Hypertextovprepojenie"/>
            <w:rFonts w:ascii="Calibri" w:hAnsi="Calibri"/>
            <w:noProof/>
          </w:rPr>
          <w:t>4.7 Sankčný mechanizmus</w:t>
        </w:r>
        <w:r>
          <w:rPr>
            <w:noProof/>
            <w:webHidden/>
          </w:rPr>
          <w:tab/>
        </w:r>
        <w:r>
          <w:rPr>
            <w:noProof/>
            <w:webHidden/>
          </w:rPr>
          <w:fldChar w:fldCharType="begin"/>
        </w:r>
        <w:r>
          <w:rPr>
            <w:noProof/>
            <w:webHidden/>
          </w:rPr>
          <w:instrText xml:space="preserve"> PAGEREF _Toc445989807 \h </w:instrText>
        </w:r>
        <w:r>
          <w:rPr>
            <w:noProof/>
            <w:webHidden/>
          </w:rPr>
        </w:r>
        <w:r>
          <w:rPr>
            <w:noProof/>
            <w:webHidden/>
          </w:rPr>
          <w:fldChar w:fldCharType="separate"/>
        </w:r>
        <w:r>
          <w:rPr>
            <w:noProof/>
            <w:webHidden/>
          </w:rPr>
          <w:t>59</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8" w:history="1">
        <w:r w:rsidRPr="0080796E">
          <w:rPr>
            <w:rStyle w:val="Hypertextovprepojenie"/>
            <w:rFonts w:ascii="Calibri" w:hAnsi="Calibri"/>
            <w:noProof/>
          </w:rPr>
          <w:t>4.7.1 Sankčný mechanizmus k verejnému obstarávaniu</w:t>
        </w:r>
        <w:r>
          <w:rPr>
            <w:noProof/>
            <w:webHidden/>
          </w:rPr>
          <w:tab/>
        </w:r>
        <w:r>
          <w:rPr>
            <w:noProof/>
            <w:webHidden/>
          </w:rPr>
          <w:fldChar w:fldCharType="begin"/>
        </w:r>
        <w:r>
          <w:rPr>
            <w:noProof/>
            <w:webHidden/>
          </w:rPr>
          <w:instrText xml:space="preserve"> PAGEREF _Toc445989808 \h </w:instrText>
        </w:r>
        <w:r>
          <w:rPr>
            <w:noProof/>
            <w:webHidden/>
          </w:rPr>
        </w:r>
        <w:r>
          <w:rPr>
            <w:noProof/>
            <w:webHidden/>
          </w:rPr>
          <w:fldChar w:fldCharType="separate"/>
        </w:r>
        <w:r>
          <w:rPr>
            <w:noProof/>
            <w:webHidden/>
          </w:rPr>
          <w:t>59</w:t>
        </w:r>
        <w:r>
          <w:rPr>
            <w:noProof/>
            <w:webHidden/>
          </w:rPr>
          <w:fldChar w:fldCharType="end"/>
        </w:r>
      </w:hyperlink>
    </w:p>
    <w:p w:rsidR="00997898" w:rsidRDefault="00997898">
      <w:pPr>
        <w:pStyle w:val="Obsah3"/>
        <w:tabs>
          <w:tab w:val="right" w:leader="dot" w:pos="9062"/>
        </w:tabs>
        <w:rPr>
          <w:rFonts w:asciiTheme="minorHAnsi" w:eastAsiaTheme="minorEastAsia" w:hAnsiTheme="minorHAnsi" w:cstheme="minorBidi"/>
          <w:noProof/>
          <w:sz w:val="22"/>
          <w:szCs w:val="22"/>
          <w:lang w:eastAsia="sk-SK"/>
        </w:rPr>
      </w:pPr>
      <w:hyperlink w:anchor="_Toc445989809" w:history="1">
        <w:r w:rsidRPr="0080796E">
          <w:rPr>
            <w:rStyle w:val="Hypertextovprepojenie"/>
            <w:rFonts w:ascii="Calibri" w:hAnsi="Calibri"/>
            <w:noProof/>
          </w:rPr>
          <w:t>4.7.4 Sankčný mechanizmus pri nenapĺňaní merateľných ukazovateľov</w:t>
        </w:r>
        <w:r>
          <w:rPr>
            <w:noProof/>
            <w:webHidden/>
          </w:rPr>
          <w:tab/>
        </w:r>
        <w:r>
          <w:rPr>
            <w:noProof/>
            <w:webHidden/>
          </w:rPr>
          <w:fldChar w:fldCharType="begin"/>
        </w:r>
        <w:r>
          <w:rPr>
            <w:noProof/>
            <w:webHidden/>
          </w:rPr>
          <w:instrText xml:space="preserve"> PAGEREF _Toc445989809 \h </w:instrText>
        </w:r>
        <w:r>
          <w:rPr>
            <w:noProof/>
            <w:webHidden/>
          </w:rPr>
        </w:r>
        <w:r>
          <w:rPr>
            <w:noProof/>
            <w:webHidden/>
          </w:rPr>
          <w:fldChar w:fldCharType="separate"/>
        </w:r>
        <w:r>
          <w:rPr>
            <w:noProof/>
            <w:webHidden/>
          </w:rPr>
          <w:t>60</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810" w:history="1">
        <w:r w:rsidRPr="0080796E">
          <w:rPr>
            <w:rStyle w:val="Hypertextovprepojenie"/>
            <w:rFonts w:ascii="Calibri" w:hAnsi="Calibri"/>
            <w:noProof/>
          </w:rPr>
          <w:t>4.8 Ukončenie realizácie projektu</w:t>
        </w:r>
        <w:r>
          <w:rPr>
            <w:noProof/>
            <w:webHidden/>
          </w:rPr>
          <w:tab/>
        </w:r>
        <w:r>
          <w:rPr>
            <w:noProof/>
            <w:webHidden/>
          </w:rPr>
          <w:fldChar w:fldCharType="begin"/>
        </w:r>
        <w:r>
          <w:rPr>
            <w:noProof/>
            <w:webHidden/>
          </w:rPr>
          <w:instrText xml:space="preserve"> PAGEREF _Toc445989810 \h </w:instrText>
        </w:r>
        <w:r>
          <w:rPr>
            <w:noProof/>
            <w:webHidden/>
          </w:rPr>
        </w:r>
        <w:r>
          <w:rPr>
            <w:noProof/>
            <w:webHidden/>
          </w:rPr>
          <w:fldChar w:fldCharType="separate"/>
        </w:r>
        <w:r>
          <w:rPr>
            <w:noProof/>
            <w:webHidden/>
          </w:rPr>
          <w:t>61</w:t>
        </w:r>
        <w:r>
          <w:rPr>
            <w:noProof/>
            <w:webHidden/>
          </w:rPr>
          <w:fldChar w:fldCharType="end"/>
        </w:r>
      </w:hyperlink>
    </w:p>
    <w:p w:rsidR="00997898" w:rsidRDefault="00997898">
      <w:pPr>
        <w:pStyle w:val="Obsah2"/>
        <w:tabs>
          <w:tab w:val="right" w:leader="dot" w:pos="9062"/>
        </w:tabs>
        <w:rPr>
          <w:rFonts w:asciiTheme="minorHAnsi" w:eastAsiaTheme="minorEastAsia" w:hAnsiTheme="minorHAnsi" w:cstheme="minorBidi"/>
          <w:noProof/>
          <w:sz w:val="22"/>
          <w:szCs w:val="22"/>
          <w:lang w:eastAsia="sk-SK"/>
        </w:rPr>
      </w:pPr>
      <w:hyperlink w:anchor="_Toc445989811" w:history="1">
        <w:r w:rsidRPr="0080796E">
          <w:rPr>
            <w:rStyle w:val="Hypertextovprepojenie"/>
            <w:rFonts w:ascii="Calibri" w:hAnsi="Calibri"/>
            <w:noProof/>
          </w:rPr>
          <w:t>4.9  Najčastejšie chyby v priebehu implementácie projektov</w:t>
        </w:r>
        <w:r>
          <w:rPr>
            <w:noProof/>
            <w:webHidden/>
          </w:rPr>
          <w:tab/>
        </w:r>
        <w:r>
          <w:rPr>
            <w:noProof/>
            <w:webHidden/>
          </w:rPr>
          <w:fldChar w:fldCharType="begin"/>
        </w:r>
        <w:r>
          <w:rPr>
            <w:noProof/>
            <w:webHidden/>
          </w:rPr>
          <w:instrText xml:space="preserve"> PAGEREF _Toc445989811 \h </w:instrText>
        </w:r>
        <w:r>
          <w:rPr>
            <w:noProof/>
            <w:webHidden/>
          </w:rPr>
        </w:r>
        <w:r>
          <w:rPr>
            <w:noProof/>
            <w:webHidden/>
          </w:rPr>
          <w:fldChar w:fldCharType="separate"/>
        </w:r>
        <w:r>
          <w:rPr>
            <w:noProof/>
            <w:webHidden/>
          </w:rPr>
          <w:t>62</w:t>
        </w:r>
        <w:r>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812" w:history="1">
        <w:r w:rsidRPr="0080796E">
          <w:rPr>
            <w:rStyle w:val="Hypertextovprepojenie"/>
            <w:rFonts w:ascii="Calibri" w:hAnsi="Calibri"/>
            <w:noProof/>
          </w:rPr>
          <w:t>5. Informovanie a komunikácia</w:t>
        </w:r>
        <w:r>
          <w:rPr>
            <w:noProof/>
            <w:webHidden/>
          </w:rPr>
          <w:tab/>
        </w:r>
        <w:r>
          <w:rPr>
            <w:noProof/>
            <w:webHidden/>
          </w:rPr>
          <w:fldChar w:fldCharType="begin"/>
        </w:r>
        <w:r>
          <w:rPr>
            <w:noProof/>
            <w:webHidden/>
          </w:rPr>
          <w:instrText xml:space="preserve"> PAGEREF _Toc445989812 \h </w:instrText>
        </w:r>
        <w:r>
          <w:rPr>
            <w:noProof/>
            <w:webHidden/>
          </w:rPr>
        </w:r>
        <w:r>
          <w:rPr>
            <w:noProof/>
            <w:webHidden/>
          </w:rPr>
          <w:fldChar w:fldCharType="separate"/>
        </w:r>
        <w:r>
          <w:rPr>
            <w:noProof/>
            <w:webHidden/>
          </w:rPr>
          <w:t>63</w:t>
        </w:r>
        <w:r>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813" w:history="1">
        <w:r w:rsidRPr="0080796E">
          <w:rPr>
            <w:rStyle w:val="Hypertextovprepojenie"/>
            <w:rFonts w:ascii="Calibri" w:hAnsi="Calibri"/>
            <w:noProof/>
          </w:rPr>
          <w:t>6. ITMS</w:t>
        </w:r>
        <w:r>
          <w:rPr>
            <w:noProof/>
            <w:webHidden/>
          </w:rPr>
          <w:tab/>
        </w:r>
        <w:r>
          <w:rPr>
            <w:noProof/>
            <w:webHidden/>
          </w:rPr>
          <w:fldChar w:fldCharType="begin"/>
        </w:r>
        <w:r>
          <w:rPr>
            <w:noProof/>
            <w:webHidden/>
          </w:rPr>
          <w:instrText xml:space="preserve"> PAGEREF _Toc445989813 \h </w:instrText>
        </w:r>
        <w:r>
          <w:rPr>
            <w:noProof/>
            <w:webHidden/>
          </w:rPr>
        </w:r>
        <w:r>
          <w:rPr>
            <w:noProof/>
            <w:webHidden/>
          </w:rPr>
          <w:fldChar w:fldCharType="separate"/>
        </w:r>
        <w:r>
          <w:rPr>
            <w:noProof/>
            <w:webHidden/>
          </w:rPr>
          <w:t>63</w:t>
        </w:r>
        <w:r>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814" w:history="1">
        <w:r w:rsidRPr="0080796E">
          <w:rPr>
            <w:rStyle w:val="Hypertextovprepojenie"/>
            <w:rFonts w:ascii="Calibri" w:hAnsi="Calibri"/>
            <w:noProof/>
          </w:rPr>
          <w:t>7. Uchovávanie dokumentácie</w:t>
        </w:r>
        <w:r>
          <w:rPr>
            <w:noProof/>
            <w:webHidden/>
          </w:rPr>
          <w:tab/>
        </w:r>
        <w:r>
          <w:rPr>
            <w:noProof/>
            <w:webHidden/>
          </w:rPr>
          <w:fldChar w:fldCharType="begin"/>
        </w:r>
        <w:r>
          <w:rPr>
            <w:noProof/>
            <w:webHidden/>
          </w:rPr>
          <w:instrText xml:space="preserve"> PAGEREF _Toc445989814 \h </w:instrText>
        </w:r>
        <w:r>
          <w:rPr>
            <w:noProof/>
            <w:webHidden/>
          </w:rPr>
        </w:r>
        <w:r>
          <w:rPr>
            <w:noProof/>
            <w:webHidden/>
          </w:rPr>
          <w:fldChar w:fldCharType="separate"/>
        </w:r>
        <w:r>
          <w:rPr>
            <w:noProof/>
            <w:webHidden/>
          </w:rPr>
          <w:t>64</w:t>
        </w:r>
        <w:r>
          <w:rPr>
            <w:noProof/>
            <w:webHidden/>
          </w:rPr>
          <w:fldChar w:fldCharType="end"/>
        </w:r>
      </w:hyperlink>
    </w:p>
    <w:p w:rsidR="00997898" w:rsidRDefault="00997898">
      <w:pPr>
        <w:pStyle w:val="Obsah1"/>
        <w:tabs>
          <w:tab w:val="right" w:leader="dot" w:pos="9062"/>
        </w:tabs>
        <w:rPr>
          <w:rFonts w:asciiTheme="minorHAnsi" w:eastAsiaTheme="minorEastAsia" w:hAnsiTheme="minorHAnsi" w:cstheme="minorBidi"/>
          <w:noProof/>
          <w:sz w:val="22"/>
          <w:szCs w:val="22"/>
          <w:lang w:eastAsia="sk-SK"/>
        </w:rPr>
      </w:pPr>
      <w:hyperlink w:anchor="_Toc445989815" w:history="1">
        <w:r w:rsidRPr="0080796E">
          <w:rPr>
            <w:rStyle w:val="Hypertextovprepojenie"/>
            <w:rFonts w:ascii="Calibri" w:hAnsi="Calibri"/>
            <w:noProof/>
          </w:rPr>
          <w:t>8. Zoznam príloh</w:t>
        </w:r>
        <w:r>
          <w:rPr>
            <w:noProof/>
            <w:webHidden/>
          </w:rPr>
          <w:tab/>
        </w:r>
        <w:r>
          <w:rPr>
            <w:noProof/>
            <w:webHidden/>
          </w:rPr>
          <w:fldChar w:fldCharType="begin"/>
        </w:r>
        <w:r>
          <w:rPr>
            <w:noProof/>
            <w:webHidden/>
          </w:rPr>
          <w:instrText xml:space="preserve"> PAGEREF _Toc445989815 \h </w:instrText>
        </w:r>
        <w:r>
          <w:rPr>
            <w:noProof/>
            <w:webHidden/>
          </w:rPr>
        </w:r>
        <w:r>
          <w:rPr>
            <w:noProof/>
            <w:webHidden/>
          </w:rPr>
          <w:fldChar w:fldCharType="separate"/>
        </w:r>
        <w:r>
          <w:rPr>
            <w:noProof/>
            <w:webHidden/>
          </w:rPr>
          <w:t>65</w:t>
        </w:r>
        <w:r>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3" w:name="_Toc218591646"/>
      <w:bookmarkStart w:id="4" w:name="_Toc218653585"/>
      <w:bookmarkStart w:id="5" w:name="_Toc218591647"/>
      <w:bookmarkStart w:id="6" w:name="_Toc218653586"/>
      <w:bookmarkStart w:id="7" w:name="_Toc218591648"/>
      <w:bookmarkStart w:id="8" w:name="_Toc218653587"/>
      <w:bookmarkStart w:id="9" w:name="_Toc218591649"/>
      <w:bookmarkStart w:id="10" w:name="_Toc218653588"/>
      <w:bookmarkStart w:id="11" w:name="_Toc218591650"/>
      <w:bookmarkStart w:id="12" w:name="_Toc218653589"/>
      <w:bookmarkStart w:id="13" w:name="_Toc213493703"/>
      <w:bookmarkStart w:id="14" w:name="_Toc445989761"/>
      <w:bookmarkStart w:id="15" w:name="_Toc264980897"/>
      <w:bookmarkStart w:id="16" w:name="_Toc286911111"/>
      <w:bookmarkStart w:id="17" w:name="_Toc406485281"/>
      <w:bookmarkStart w:id="18" w:name="_Toc195864876"/>
      <w:bookmarkStart w:id="19" w:name="_Toc195864945"/>
      <w:bookmarkStart w:id="20" w:name="_Toc195865334"/>
      <w:bookmarkEnd w:id="3"/>
      <w:bookmarkEnd w:id="4"/>
      <w:bookmarkEnd w:id="5"/>
      <w:bookmarkEnd w:id="6"/>
      <w:bookmarkEnd w:id="7"/>
      <w:bookmarkEnd w:id="8"/>
      <w:bookmarkEnd w:id="9"/>
      <w:bookmarkEnd w:id="10"/>
      <w:bookmarkEnd w:id="11"/>
      <w:bookmarkEnd w:id="12"/>
      <w:bookmarkEnd w:id="13"/>
      <w:r w:rsidRPr="00C32732">
        <w:rPr>
          <w:rFonts w:ascii="Calibri" w:hAnsi="Calibri"/>
        </w:rPr>
        <w:t>Úvod</w:t>
      </w:r>
      <w:bookmarkEnd w:id="14"/>
      <w:r w:rsidRPr="00C32732">
        <w:rPr>
          <w:rFonts w:ascii="Calibri" w:hAnsi="Calibri"/>
        </w:rPr>
        <w:t xml:space="preserve"> </w:t>
      </w:r>
      <w:bookmarkEnd w:id="15"/>
      <w:bookmarkEnd w:id="16"/>
      <w:bookmarkEnd w:id="17"/>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proofErr w:type="spellStart"/>
      <w:r w:rsidR="007D575A" w:rsidRPr="00602D56">
        <w:rPr>
          <w:rFonts w:ascii="Calibri" w:hAnsi="Calibri"/>
          <w:b/>
          <w:bCs/>
          <w:color w:val="365F91"/>
        </w:rPr>
        <w:t>ŽoNFP</w:t>
      </w:r>
      <w:proofErr w:type="spellEnd"/>
      <w:r w:rsidRPr="00602D56">
        <w:rPr>
          <w:rFonts w:ascii="Calibri" w:hAnsi="Calibri"/>
          <w:b/>
          <w:bCs/>
          <w:color w:val="365F91"/>
        </w:rPr>
        <w:t xml:space="preserve"> 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a to na: </w:t>
      </w:r>
      <w:r w:rsidR="00AE67A5" w:rsidRPr="00AE67A5">
        <w:t>http://www.optp.vlada.gov.sk</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1" w:name="_Toc445989762"/>
      <w:r w:rsidRPr="00C32732">
        <w:rPr>
          <w:rFonts w:ascii="Calibri" w:hAnsi="Calibri"/>
        </w:rPr>
        <w:t>Cieľ  a platnosť príručky</w:t>
      </w:r>
      <w:bookmarkEnd w:id="21"/>
    </w:p>
    <w:bookmarkEnd w:id="18"/>
    <w:bookmarkEnd w:id="19"/>
    <w:bookmarkEnd w:id="20"/>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 xml:space="preserve">prípade ak je Prijímateľ a Poskytovateľ tá istá osoba, Zmluva o poskytnutí NFP sa neuzatvára a práva a povinnosti sú upravené v Rozhodnutí o schválení žiadosti o NFP.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2" w:name="_Toc445989763"/>
      <w:r w:rsidRPr="00C32732">
        <w:rPr>
          <w:rFonts w:ascii="Calibri" w:hAnsi="Calibri"/>
        </w:rPr>
        <w:t>Zoznam  skratiek</w:t>
      </w:r>
      <w:bookmarkEnd w:id="22"/>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proofErr w:type="spellStart"/>
            <w:r w:rsidRPr="00602D56">
              <w:rPr>
                <w:rFonts w:ascii="Calibri" w:hAnsi="Calibri"/>
                <w:b/>
                <w:color w:val="365F91"/>
                <w:lang w:eastAsia="en-US"/>
              </w:rPr>
              <w:t>KnM</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pripísanie prostriedkov EÚ a ŠR na spolufinancovanie na účet Prijímateľa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3" w:name="_Toc445989764"/>
      <w:r w:rsidRPr="00C32732">
        <w:rPr>
          <w:rFonts w:ascii="Calibri" w:hAnsi="Calibri"/>
        </w:rPr>
        <w:t>Spôsob komunikácie medzi Prijímateľom a  Poskytovateľom počas implementácie projektov</w:t>
      </w:r>
      <w:bookmarkEnd w:id="23"/>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C32732">
        <w:rPr>
          <w:rFonts w:ascii="Calibri" w:hAnsi="Calibri"/>
        </w:rPr>
        <w:t xml:space="preserve">aj elektronicky prostredníctvom emailu.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EA4E2B" w:rsidRDefault="00EA4E2B">
      <w:pPr>
        <w:jc w:val="left"/>
        <w:rPr>
          <w:rFonts w:ascii="Calibri" w:eastAsia="Times New Roman" w:hAnsi="Calibri"/>
          <w:b/>
          <w:lang w:eastAsia="en-GB"/>
        </w:rPr>
      </w:pPr>
      <w:r>
        <w:rPr>
          <w:rFonts w:ascii="Calibri" w:hAnsi="Calibri"/>
          <w:b/>
        </w:rPr>
        <w:br w:type="page"/>
      </w:r>
    </w:p>
    <w:p w:rsidR="003D553C" w:rsidRPr="00EB2412" w:rsidRDefault="003D553C" w:rsidP="00B176EA">
      <w:pPr>
        <w:pStyle w:val="Odsekzoznamu11"/>
        <w:ind w:left="0"/>
        <w:rPr>
          <w:rFonts w:ascii="Calibri" w:hAnsi="Calibri"/>
          <w:b/>
        </w:rPr>
      </w:pPr>
      <w:r w:rsidRPr="00EB2412">
        <w:rPr>
          <w:rFonts w:ascii="Calibri" w:hAnsi="Calibri"/>
          <w:b/>
        </w:rPr>
        <w:t>Poskytovanie informácií</w:t>
      </w:r>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3" w:history="1">
        <w:r w:rsidR="00BE31A4" w:rsidRPr="008E654A">
          <w:rPr>
            <w:rStyle w:val="Hypertextovprepojenie"/>
          </w:rPr>
          <w:t>projektyoptp@vlada.gov.sk</w:t>
        </w:r>
      </w:hyperlink>
    </w:p>
    <w:p w:rsidR="00B13C69" w:rsidRPr="00EB2412" w:rsidRDefault="000D55CB" w:rsidP="00A77D47">
      <w:pPr>
        <w:ind w:left="4248" w:firstLine="708"/>
        <w:rPr>
          <w:rFonts w:ascii="Calibri" w:hAnsi="Calibri"/>
          <w:lang w:eastAsia="en-GB"/>
        </w:rPr>
      </w:pPr>
      <w:hyperlink r:id="rId14"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r w:rsidR="00AE67A5" w:rsidRPr="00AE67A5">
        <w:rPr>
          <w:rFonts w:ascii="Calibri" w:eastAsia="Times New Roman" w:hAnsi="Calibri"/>
          <w:lang w:eastAsia="en-GB"/>
        </w:rPr>
        <w:t>http://www.optp.vlada.gov.sk</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24" w:name="_Toc445989765"/>
      <w:r w:rsidRPr="00C32732">
        <w:rPr>
          <w:rFonts w:ascii="Calibri" w:hAnsi="Calibri"/>
        </w:rPr>
        <w:t>Implementácia projektov</w:t>
      </w:r>
      <w:bookmarkEnd w:id="24"/>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25" w:name="_Toc445989766"/>
      <w:r w:rsidRPr="00602D56">
        <w:rPr>
          <w:rFonts w:ascii="Calibri" w:hAnsi="Calibri"/>
          <w:color w:val="365F91"/>
        </w:rPr>
        <w:t>4.1 Príprava Verejného obstarávania</w:t>
      </w:r>
      <w:bookmarkEnd w:id="25"/>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Poskytovateľ kontroluje dodržiavanie pravidiel a princípov VO vyplývajúcich zo zmluvy o EÚ definovaných príslušnými právnymi aktmi EÚ a zo zákona č. 25/2006 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Činnosťou Poskytovateľa nie je dotknutá výlučná a konečná zodpovednosť Prijímateľa ako verejného obstarávateľa, obstarávateľa alebo osoby podľa § 7 zákona o verejnom obstarávaní (ďalej len „obstarávateľ“) za vykonanie VO pri dodržaní všeobecne záväzných právnych predpisov SR a EÚ, základných princípov VO a Zmluvy o poskytnutí NFP.</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D63B5" w:rsidRPr="00EB2412" w:rsidRDefault="00BD63B5" w:rsidP="00EB2412">
      <w:pPr>
        <w:spacing w:before="120" w:after="120"/>
        <w:ind w:left="851"/>
        <w:rPr>
          <w:rFonts w:ascii="Calibri" w:hAnsi="Calibri"/>
          <w:spacing w:val="-5"/>
        </w:rPr>
      </w:pP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26" w:name="_Toc445989767"/>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26"/>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súčasťou vyzvania a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neskoršieho podpisu Zmluvných strán 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platnosť </w:t>
      </w:r>
      <w:r w:rsidR="00FE3B55" w:rsidRPr="00C32732">
        <w:rPr>
          <w:rFonts w:ascii="Calibri" w:eastAsia="Times New Roman" w:hAnsi="Calibri"/>
          <w:lang w:eastAsia="en-US"/>
        </w:rPr>
        <w:t>dňom podpisu štatutárnym orgánom RO</w:t>
      </w:r>
      <w:r w:rsidR="00D47E97">
        <w:rPr>
          <w:rFonts w:ascii="Calibri" w:eastAsia="Times New Roman" w:hAnsi="Calibri"/>
          <w:lang w:eastAsia="en-US"/>
        </w:rPr>
        <w:t xml:space="preserve"> OP TP</w:t>
      </w:r>
      <w:r w:rsidR="00FE3B55" w:rsidRPr="00C32732">
        <w:rPr>
          <w:rFonts w:ascii="Calibri" w:eastAsia="Times New Roman" w:hAnsi="Calibri"/>
          <w:lang w:eastAsia="en-US"/>
        </w:rPr>
        <w:t xml:space="preserve"> </w:t>
      </w:r>
      <w:r w:rsidR="00443267">
        <w:rPr>
          <w:rFonts w:ascii="Calibri" w:eastAsia="Times New Roman" w:hAnsi="Calibri"/>
          <w:lang w:eastAsia="en-US"/>
        </w:rPr>
        <w:br/>
      </w:r>
      <w:r w:rsidRPr="00C32732">
        <w:rPr>
          <w:rFonts w:ascii="Calibri" w:eastAsia="Times New Roman" w:hAnsi="Calibri"/>
          <w:lang w:eastAsia="en-US"/>
        </w:rPr>
        <w:t xml:space="preserve">a účinnosť dňom </w:t>
      </w:r>
      <w:r w:rsidR="00FE3B55" w:rsidRPr="00C32732">
        <w:rPr>
          <w:rFonts w:ascii="Calibri" w:eastAsia="Times New Roman" w:hAnsi="Calibri"/>
          <w:lang w:eastAsia="en-US"/>
        </w:rPr>
        <w:t>nasledujúcim po dni jeho zverejnenia v Centrálnom registri projektov</w:t>
      </w:r>
      <w:r w:rsidRPr="00C32732">
        <w:rPr>
          <w:rFonts w:ascii="Calibri" w:hAnsi="Calibri"/>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w:t>
      </w:r>
      <w:r w:rsidR="00CF0E35" w:rsidRPr="00C32732">
        <w:rPr>
          <w:rFonts w:ascii="Calibri" w:hAnsi="Calibri"/>
        </w:rPr>
        <w:t xml:space="preserve">/Rozhodnutia </w:t>
      </w:r>
      <w:r w:rsidR="00443267">
        <w:rPr>
          <w:rFonts w:ascii="Calibri" w:hAnsi="Calibri"/>
        </w:rPr>
        <w:br/>
      </w:r>
      <w:r w:rsidR="00CF0E35" w:rsidRPr="00C32732">
        <w:rPr>
          <w:rFonts w:ascii="Calibri" w:hAnsi="Calibri"/>
        </w:rPr>
        <w:t>o schválení</w:t>
      </w:r>
      <w:r w:rsidRPr="00C32732">
        <w:rPr>
          <w:rFonts w:ascii="Calibri" w:hAnsi="Calibri"/>
        </w:rPr>
        <w:t xml:space="preserve">.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Pr="00C32732"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r w:rsidR="00CF0E35" w:rsidRPr="00C32732">
        <w:rPr>
          <w:rFonts w:ascii="Calibri" w:hAnsi="Calibri"/>
        </w:rPr>
        <w:t xml:space="preserve">/Rozhodnutia </w:t>
      </w:r>
      <w:r w:rsidR="00443267">
        <w:rPr>
          <w:rFonts w:ascii="Calibri" w:hAnsi="Calibri"/>
        </w:rPr>
        <w:br/>
      </w:r>
      <w:r w:rsidR="00CF0E35" w:rsidRPr="00C32732">
        <w:rPr>
          <w:rFonts w:ascii="Calibri" w:hAnsi="Calibri"/>
        </w:rPr>
        <w:t>o schválení</w:t>
      </w:r>
      <w:r w:rsidRPr="00C3273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prostredníctvom zaslania </w:t>
      </w:r>
      <w:r w:rsidR="00880016" w:rsidRPr="00C32732">
        <w:rPr>
          <w:rFonts w:ascii="Calibri" w:eastAsia="Times New Roman" w:hAnsi="Calibri"/>
          <w:sz w:val="24"/>
          <w:szCs w:val="24"/>
          <w:lang w:eastAsia="cs-CZ"/>
        </w:rPr>
        <w:t>hlásenia o začatí realizácie</w:t>
      </w:r>
      <w:r w:rsidRPr="00C32732">
        <w:rPr>
          <w:rFonts w:ascii="Calibri" w:eastAsia="Times New Roman" w:hAnsi="Calibri"/>
          <w:sz w:val="24"/>
          <w:szCs w:val="24"/>
          <w:lang w:eastAsia="cs-CZ"/>
        </w:rPr>
        <w:t xml:space="preserve">,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t xml:space="preserve">V prípade, ak Prijímateľ nezačal s realizáciou hlavných aktivít projektu do 3 mesiacov </w:t>
      </w:r>
      <w:r w:rsidR="00443267">
        <w:rPr>
          <w:rFonts w:ascii="Calibri" w:hAnsi="Calibri"/>
        </w:rPr>
        <w:br/>
      </w:r>
      <w:r w:rsidRPr="00C32732">
        <w:rPr>
          <w:rFonts w:ascii="Calibri" w:hAnsi="Calibri"/>
        </w:rPr>
        <w:t xml:space="preserve">od termínu uvedeného v prílohe č.2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NFP/Rozhodnutia o schválení</w:t>
      </w:r>
      <w:r w:rsidRPr="00C32732">
        <w:rPr>
          <w:rFonts w:ascii="Calibri" w:hAnsi="Calibri"/>
        </w:rPr>
        <w:t xml:space="preserve"> zo strany Prijímateľa a Poskytovateľ je oprávnený odstúpiť </w:t>
      </w:r>
      <w:r w:rsidR="00443267">
        <w:rPr>
          <w:rFonts w:ascii="Calibri" w:hAnsi="Calibri"/>
        </w:rPr>
        <w:br/>
      </w:r>
      <w:r w:rsidRPr="00C32732">
        <w:rPr>
          <w:rFonts w:ascii="Calibri" w:hAnsi="Calibri"/>
        </w:rPr>
        <w:t xml:space="preserve">od </w:t>
      </w:r>
      <w:r w:rsidR="00CF0E35" w:rsidRPr="00C32732">
        <w:rPr>
          <w:rFonts w:ascii="Calibri" w:eastAsia="Times New Roman" w:hAnsi="Calibri"/>
        </w:rPr>
        <w:t>Zmluvy o poskytnutí NFP/Rozhodnutia o schválení</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NFP/Rozhodnutia o schválení</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27" w:name="_Toc445989768"/>
      <w:r w:rsidRPr="00602D56">
        <w:rPr>
          <w:rFonts w:ascii="Calibri" w:hAnsi="Calibri"/>
          <w:color w:val="365F91"/>
        </w:rPr>
        <w:t>4.3 Financovanie projektu</w:t>
      </w:r>
      <w:bookmarkEnd w:id="27"/>
    </w:p>
    <w:p w:rsidR="008207C0" w:rsidRPr="00602D56" w:rsidRDefault="008207C0" w:rsidP="005701D0">
      <w:pPr>
        <w:pStyle w:val="Nadpis3"/>
        <w:rPr>
          <w:rFonts w:ascii="Calibri" w:hAnsi="Calibri"/>
          <w:color w:val="365F91"/>
        </w:rPr>
      </w:pPr>
      <w:bookmarkStart w:id="28" w:name="_Toc445989769"/>
      <w:r w:rsidRPr="00602D56">
        <w:rPr>
          <w:rFonts w:ascii="Calibri" w:hAnsi="Calibri"/>
          <w:color w:val="365F91"/>
        </w:rPr>
        <w:t>4.3.1 Oprávnenosť výdavkov</w:t>
      </w:r>
      <w:bookmarkEnd w:id="28"/>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rozhodnutím o schválení </w:t>
      </w:r>
      <w:proofErr w:type="spellStart"/>
      <w:r w:rsidR="00136158" w:rsidRPr="00C32732">
        <w:rPr>
          <w:rFonts w:ascii="Calibri" w:hAnsi="Calibri"/>
        </w:rPr>
        <w:t>ŽoNFP</w:t>
      </w:r>
      <w:proofErr w:type="spellEnd"/>
      <w:r w:rsidR="00136158" w:rsidRPr="00C32732">
        <w:rPr>
          <w:rFonts w:ascii="Calibri" w:hAnsi="Calibri"/>
        </w:rPr>
        <w:t xml:space="preserve">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9277E5" w:rsidRPr="00C32732" w:rsidRDefault="009277E5" w:rsidP="00EF4AA5">
      <w:pPr>
        <w:autoSpaceDE w:val="0"/>
        <w:autoSpaceDN w:val="0"/>
        <w:adjustRightInd w:val="0"/>
        <w:rPr>
          <w:rFonts w:ascii="Calibri" w:hAnsi="Calibri"/>
        </w:rPr>
      </w:pP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 xml:space="preserve">V rámci implementácie projektov môže Prijímateľ predkladať skupiny/ výdavkov, ktoré sú v súlade s oprávnenými výdavkami definovanými v </w:t>
      </w:r>
      <w:r w:rsidRPr="00C32732">
        <w:rPr>
          <w:rFonts w:ascii="Calibri" w:hAnsi="Calibri"/>
          <w:b/>
          <w:i/>
        </w:rPr>
        <w:t>Príručke  oprávnenosti výdavkov</w:t>
      </w:r>
      <w:r w:rsidR="00667109" w:rsidRPr="00C32732">
        <w:rPr>
          <w:rFonts w:ascii="Calibri" w:hAnsi="Calibri"/>
          <w:b/>
          <w:i/>
        </w:rPr>
        <w:t xml:space="preserve"> pre projekty TP</w:t>
      </w:r>
      <w:r w:rsidRPr="00C32732">
        <w:rPr>
          <w:rFonts w:ascii="Calibri" w:hAnsi="Calibri"/>
        </w:rPr>
        <w:t xml:space="preserve"> ako súčasti </w:t>
      </w:r>
      <w:r w:rsidR="00667109" w:rsidRPr="00C32732">
        <w:rPr>
          <w:rFonts w:ascii="Calibri" w:hAnsi="Calibri"/>
        </w:rPr>
        <w:t xml:space="preserve">písomného </w:t>
      </w:r>
      <w:r w:rsidRPr="00C32732">
        <w:rPr>
          <w:rFonts w:ascii="Calibri" w:hAnsi="Calibri"/>
        </w:rPr>
        <w:t>v</w:t>
      </w:r>
      <w:r w:rsidR="00667109" w:rsidRPr="00C32732">
        <w:rPr>
          <w:rFonts w:ascii="Calibri" w:hAnsi="Calibri"/>
        </w:rPr>
        <w:t>y</w:t>
      </w:r>
      <w:r w:rsidRPr="00C32732">
        <w:rPr>
          <w:rFonts w:ascii="Calibri" w:hAnsi="Calibri"/>
        </w:rPr>
        <w:t>zv</w:t>
      </w:r>
      <w:r w:rsidR="00667109" w:rsidRPr="00C32732">
        <w:rPr>
          <w:rFonts w:ascii="Calibri" w:hAnsi="Calibri"/>
        </w:rPr>
        <w:t>ania</w:t>
      </w:r>
      <w:r w:rsidRPr="00C32732">
        <w:rPr>
          <w:rFonts w:ascii="Calibri" w:hAnsi="Calibri"/>
        </w:rPr>
        <w:t>, pričom musia spĺňať aj vyššie uvedené kritéria oprávnenosti.</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daň z pridanej hodnoty a iné dane</w:t>
      </w:r>
      <w:r w:rsidR="00EF0AC4" w:rsidRPr="00C32732">
        <w:rPr>
          <w:rFonts w:ascii="Calibri" w:hAnsi="Calibri"/>
          <w:lang w:eastAsia="en-US"/>
        </w:rPr>
        <w:t>.</w:t>
      </w:r>
    </w:p>
    <w:p w:rsidR="008207C0" w:rsidRPr="00602D56" w:rsidRDefault="008207C0" w:rsidP="00537561">
      <w:pPr>
        <w:pStyle w:val="Nadpis3"/>
        <w:spacing w:before="120"/>
        <w:rPr>
          <w:rFonts w:ascii="Calibri" w:hAnsi="Calibri"/>
          <w:color w:val="365F91"/>
        </w:rPr>
      </w:pPr>
      <w:bookmarkStart w:id="29" w:name="_Toc445989770"/>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29"/>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Pr="00C32732">
        <w:rPr>
          <w:rFonts w:ascii="Calibri" w:hAnsi="Calibri"/>
        </w:rPr>
        <w:t xml:space="preserve">, v rámci ktorej je uvedený záväzný </w:t>
      </w:r>
      <w:r w:rsidRPr="00C32732">
        <w:rPr>
          <w:rFonts w:ascii="Calibri" w:hAnsi="Calibri"/>
          <w:b/>
        </w:rPr>
        <w:t>systém financovania v prílohe č. 2 Predmet podpory</w:t>
      </w:r>
      <w:r w:rsidRPr="00C32732">
        <w:rPr>
          <w:rFonts w:ascii="Calibri" w:hAnsi="Calibri"/>
        </w:rPr>
        <w:t xml:space="preserve">. K úhrade prostriedkov dochádza v súlade s príslušnými ustanoveniami článku č. 17a) až 17c) prílohy č. 1 VZP </w:t>
      </w:r>
      <w:r w:rsidR="00443267">
        <w:rPr>
          <w:rFonts w:ascii="Calibri" w:hAnsi="Calibri"/>
        </w:rPr>
        <w:br/>
      </w:r>
      <w:r w:rsidRPr="00C32732">
        <w:rPr>
          <w:rFonts w:ascii="Calibri" w:hAnsi="Calibri"/>
        </w:rPr>
        <w:t>k zmluve o poskytnutí NFP;</w:t>
      </w: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C32732">
        <w:rPr>
          <w:rFonts w:ascii="Calibri" w:hAnsi="Calibri"/>
        </w:rPr>
        <w:t>na spolufinancovanie), ktorý je uvedený v prílohe č. 2 Predmet podpory  Zmluvy o poskytnutí NFP;</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výdavky nárokované v </w:t>
      </w:r>
      <w:proofErr w:type="spellStart"/>
      <w:r w:rsidRPr="00C32732">
        <w:rPr>
          <w:rFonts w:ascii="Calibri" w:hAnsi="Calibri"/>
        </w:rPr>
        <w:t>ŽoP</w:t>
      </w:r>
      <w:proofErr w:type="spellEnd"/>
      <w:r w:rsidRPr="00C32732">
        <w:rPr>
          <w:rFonts w:ascii="Calibri" w:hAnsi="Calibri"/>
        </w:rPr>
        <w:t xml:space="preserve"> boli predmetom </w:t>
      </w:r>
      <w:r w:rsidR="007127E4">
        <w:rPr>
          <w:rFonts w:ascii="Calibri" w:hAnsi="Calibri"/>
          <w:b/>
        </w:rPr>
        <w:t>finančnej</w:t>
      </w:r>
      <w:r w:rsidR="007127E4" w:rsidRPr="00C32732">
        <w:rPr>
          <w:rFonts w:ascii="Calibri" w:hAnsi="Calibri"/>
        </w:rPr>
        <w:t xml:space="preserve"> </w:t>
      </w:r>
      <w:r w:rsidRPr="00C32732">
        <w:rPr>
          <w:rFonts w:ascii="Calibri" w:hAnsi="Calibri"/>
          <w:b/>
        </w:rPr>
        <w:t>kontroly verejného obstarávania</w:t>
      </w:r>
      <w:r w:rsidRPr="00C32732">
        <w:rPr>
          <w:rFonts w:ascii="Calibri" w:hAnsi="Calibri"/>
        </w:rPr>
        <w:t xml:space="preserve"> na tovary, služby a práce;</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z 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0" w:name="_Toc445989771"/>
      <w:r w:rsidRPr="00602D56">
        <w:rPr>
          <w:rFonts w:ascii="Calibri" w:hAnsi="Calibri"/>
          <w:color w:val="365F91"/>
        </w:rPr>
        <w:t>4.3.3 Žiadosť o platbu</w:t>
      </w:r>
      <w:bookmarkEnd w:id="30"/>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Pr="00C32732"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5B4030">
      <w:pPr>
        <w:spacing w:after="120"/>
        <w:rPr>
          <w:rFonts w:ascii="Calibri" w:hAnsi="Calibri"/>
        </w:rPr>
      </w:pPr>
      <w:r w:rsidRPr="00C32732">
        <w:rPr>
          <w:rFonts w:ascii="Calibri" w:hAnsi="Calibri"/>
        </w:rPr>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A72CDB" w:rsidRPr="00C32732">
        <w:rPr>
          <w:rFonts w:ascii="Calibri" w:hAnsi="Calibri"/>
        </w:rPr>
        <w:t>(</w:t>
      </w:r>
      <w:r w:rsidR="00005358">
        <w:rPr>
          <w:rFonts w:ascii="Calibri" w:hAnsi="Calibri"/>
        </w:rPr>
        <w:t xml:space="preserve">RO OP TP stanoví minimálnu lehotu na doručenie námietok </w:t>
      </w:r>
      <w:r w:rsidR="00443267">
        <w:rPr>
          <w:rFonts w:ascii="Calibri" w:hAnsi="Calibri"/>
        </w:rPr>
        <w:br/>
      </w:r>
      <w:r w:rsidR="00005358">
        <w:rPr>
          <w:rFonts w:ascii="Calibri" w:hAnsi="Calibri"/>
        </w:rPr>
        <w:t>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k návrhu správy z kontroly, Poskytovateľ vyhodnotí tieto námietky a v prípade ich úplnej alebo čiastočnej opodstatnenosti ich zohľadní v správe z kontroly, ktorú zašle Prijímateľovi. </w:t>
      </w:r>
    </w:p>
    <w:p w:rsidR="008207C0" w:rsidRPr="00C32732" w:rsidRDefault="008207C0" w:rsidP="00856957">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deklarovaných výdavkov do samostatnej kontroly.</w:t>
      </w:r>
    </w:p>
    <w:p w:rsidR="006550C6" w:rsidRPr="00C32732" w:rsidRDefault="008207C0" w:rsidP="006550C6">
      <w:pPr>
        <w:pStyle w:val="Default"/>
        <w:spacing w:before="120"/>
        <w:jc w:val="both"/>
        <w:rPr>
          <w:rFonts w:ascii="Calibri" w:hAnsi="Calibri"/>
        </w:rPr>
      </w:pPr>
      <w:r w:rsidRPr="00C32732">
        <w:rPr>
          <w:rFonts w:ascii="Calibri" w:hAnsi="Calibri"/>
        </w:rPr>
        <w:t xml:space="preserve">Momentom ukončenia kontroly </w:t>
      </w:r>
      <w:proofErr w:type="spellStart"/>
      <w:r w:rsidRPr="00C32732">
        <w:rPr>
          <w:rFonts w:ascii="Calibri" w:hAnsi="Calibri"/>
        </w:rPr>
        <w:t>ŽoP</w:t>
      </w:r>
      <w:proofErr w:type="spellEnd"/>
      <w:r w:rsidRPr="00C32732">
        <w:rPr>
          <w:rFonts w:ascii="Calibri" w:hAnsi="Calibri"/>
        </w:rPr>
        <w:t xml:space="preserve"> je zaslanie </w:t>
      </w:r>
      <w:r w:rsidRPr="00C32732">
        <w:rPr>
          <w:rFonts w:ascii="Calibri" w:hAnsi="Calibri"/>
          <w:b/>
        </w:rPr>
        <w:t>správy z kontroly</w:t>
      </w:r>
      <w:r w:rsidRPr="00C32732">
        <w:rPr>
          <w:rFonts w:ascii="Calibri" w:hAnsi="Calibri"/>
        </w:rPr>
        <w:t xml:space="preserve"> Prijímateľovi.</w:t>
      </w:r>
      <w:r w:rsidR="006550C6">
        <w:rPr>
          <w:rFonts w:ascii="Calibri" w:hAnsi="Calibri"/>
        </w:rPr>
        <w:t xml:space="preserve"> Zaslaním čiastkovej správy je skončená tá časť kontroly </w:t>
      </w:r>
      <w:proofErr w:type="spellStart"/>
      <w:r w:rsidR="006550C6">
        <w:rPr>
          <w:rFonts w:ascii="Calibri" w:hAnsi="Calibri"/>
        </w:rPr>
        <w:t>ŽoP</w:t>
      </w:r>
      <w:proofErr w:type="spellEnd"/>
      <w:r w:rsidR="006550C6">
        <w:rPr>
          <w:rFonts w:ascii="Calibri" w:hAnsi="Calibri"/>
        </w:rPr>
        <w:t>, ktorej sa čiastková správa týka.</w:t>
      </w:r>
    </w:p>
    <w:p w:rsidR="008207C0" w:rsidRPr="00C32732" w:rsidRDefault="008207C0" w:rsidP="00856957">
      <w:pPr>
        <w:spacing w:before="120"/>
        <w:rPr>
          <w:rFonts w:ascii="Calibri" w:hAnsi="Calibri"/>
        </w:rPr>
      </w:pPr>
    </w:p>
    <w:p w:rsidR="008207C0" w:rsidRPr="00C32732" w:rsidRDefault="008207C0" w:rsidP="005B4030">
      <w:pPr>
        <w:rPr>
          <w:rFonts w:ascii="Calibri" w:hAnsi="Calibri"/>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31" w:name="_Toc445989772"/>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31"/>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32" w:name="_Toc445989773"/>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32"/>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96055C" w:rsidRPr="00EF4AA5">
        <w:rPr>
          <w:rFonts w:ascii="Calibri" w:hAnsi="Calibri"/>
          <w:b/>
        </w:rPr>
        <w:t xml:space="preserve">troch </w:t>
      </w:r>
      <w:r w:rsidRPr="00EF4AA5">
        <w:rPr>
          <w:rFonts w:ascii="Calibri" w:hAnsi="Calibri"/>
          <w:b/>
        </w:rPr>
        <w:t>rovnopisoch</w:t>
      </w:r>
      <w:r w:rsidRPr="00C32732">
        <w:rPr>
          <w:rFonts w:ascii="Calibri" w:hAnsi="Calibri"/>
        </w:rPr>
        <w:t>, pričom jeden zostáva u Prijímateľa a </w:t>
      </w:r>
      <w:r w:rsidR="0096055C">
        <w:rPr>
          <w:rFonts w:ascii="Calibri" w:hAnsi="Calibri"/>
        </w:rPr>
        <w:t>dva</w:t>
      </w:r>
      <w:r w:rsidR="0096055C" w:rsidRPr="00C32732">
        <w:rPr>
          <w:rFonts w:ascii="Calibri" w:hAnsi="Calibri"/>
        </w:rPr>
        <w:t xml:space="preserve"> </w:t>
      </w:r>
      <w:r w:rsidRPr="00C32732">
        <w:rPr>
          <w:rFonts w:ascii="Calibri" w:hAnsi="Calibri"/>
        </w:rPr>
        <w:t>rovnopis</w:t>
      </w:r>
      <w:r w:rsidR="0096055C">
        <w:rPr>
          <w:rFonts w:ascii="Calibri" w:hAnsi="Calibri"/>
        </w:rPr>
        <w:t>y</w:t>
      </w:r>
      <w:r w:rsidRPr="00C32732">
        <w:rPr>
          <w:rFonts w:ascii="Calibri" w:hAnsi="Calibri"/>
        </w:rPr>
        <w:t xml:space="preserve"> (označen</w:t>
      </w:r>
      <w:r w:rsidR="00FA194F">
        <w:rPr>
          <w:rFonts w:ascii="Calibri" w:hAnsi="Calibri"/>
        </w:rPr>
        <w:t>é</w:t>
      </w:r>
      <w:r w:rsidRPr="00C32732">
        <w:rPr>
          <w:rFonts w:ascii="Calibri" w:hAnsi="Calibri"/>
        </w:rPr>
        <w:t xml:space="preserve"> 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96055C">
        <w:rPr>
          <w:rFonts w:ascii="Calibri" w:hAnsi="Calibri"/>
        </w:rPr>
        <w:t>tr</w:t>
      </w:r>
      <w:r w:rsidR="0096055C" w:rsidRPr="00C32732">
        <w:rPr>
          <w:rFonts w:ascii="Calibri" w:hAnsi="Calibri"/>
        </w:rPr>
        <w:t xml:space="preserve">och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- 2 vyhotovenia</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EF4AA5">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 odmien</w:t>
      </w:r>
      <w:r w:rsidRPr="00C32732">
        <w:rPr>
          <w:rFonts w:ascii="Calibri" w:hAnsi="Calibri"/>
        </w:rPr>
        <w:t>)</w:t>
      </w:r>
      <w:r w:rsidR="000C4369">
        <w:rPr>
          <w:rFonts w:ascii="Calibri" w:hAnsi="Calibri"/>
        </w:rPr>
        <w:t xml:space="preserve"> - 2</w:t>
      </w:r>
      <w:r w:rsidR="000C4369" w:rsidRPr="000C4369">
        <w:rPr>
          <w:rFonts w:ascii="Calibri" w:hAnsi="Calibri"/>
        </w:rPr>
        <w:t xml:space="preserve"> </w:t>
      </w:r>
      <w:r w:rsidR="000C4369">
        <w:rPr>
          <w:rFonts w:ascii="Calibri" w:hAnsi="Calibri"/>
        </w:rPr>
        <w:t>vyhotovenia</w:t>
      </w:r>
      <w:r w:rsidR="0076364C">
        <w:rPr>
          <w:rFonts w:ascii="Calibri" w:hAnsi="Calibri"/>
        </w:rPr>
        <w:t>.</w:t>
      </w:r>
    </w:p>
    <w:p w:rsidR="001E52DB" w:rsidRPr="00EF4AA5" w:rsidRDefault="001E52DB" w:rsidP="00EF4AA5">
      <w:pPr>
        <w:rPr>
          <w:rFonts w:ascii="Calibri" w:hAnsi="Calibri"/>
        </w:rPr>
      </w:pPr>
    </w:p>
    <w:p w:rsidR="008207C0" w:rsidRPr="00C32732" w:rsidRDefault="000C4369" w:rsidP="005B4030">
      <w:pPr>
        <w:rPr>
          <w:rFonts w:ascii="Calibri" w:hAnsi="Calibri"/>
        </w:rPr>
      </w:pPr>
      <w:r w:rsidRPr="00C32732" w:rsidDel="000C4369">
        <w:rPr>
          <w:rFonts w:ascii="Calibri" w:hAnsi="Calibri"/>
        </w:rPr>
        <w:t xml:space="preserve"> </w:t>
      </w:r>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5"/>
      </w:r>
      <w:r w:rsidR="008207C0" w:rsidRPr="00C32732">
        <w:rPr>
          <w:rFonts w:ascii="Calibri" w:hAnsi="Calibri"/>
        </w:rPr>
        <w:t>.</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33" w:name="_Toc394576138"/>
      <w:bookmarkStart w:id="34" w:name="_Toc286911130"/>
      <w:bookmarkStart w:id="35" w:name="_Toc286267640"/>
      <w:bookmarkStart w:id="36" w:name="_Toc286255230"/>
      <w:bookmarkStart w:id="37" w:name="_Toc244589857"/>
      <w:r w:rsidRPr="00602D56">
        <w:rPr>
          <w:rFonts w:ascii="Calibri" w:hAnsi="Calibri"/>
          <w:b/>
          <w:color w:val="365F91"/>
        </w:rPr>
        <w:t>Náležitosti účtovných a daňových dokladov</w:t>
      </w:r>
      <w:bookmarkEnd w:id="33"/>
      <w:bookmarkEnd w:id="34"/>
      <w:bookmarkEnd w:id="35"/>
      <w:bookmarkEnd w:id="36"/>
      <w:bookmarkEnd w:id="37"/>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6"/>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C327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7"/>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8207C0" w:rsidRPr="00C32732" w:rsidRDefault="008207C0" w:rsidP="005B4030">
      <w:pPr>
        <w:rPr>
          <w:rFonts w:ascii="Calibri" w:hAnsi="Calibri"/>
        </w:rPr>
      </w:pPr>
    </w:p>
    <w:p w:rsidR="000D1457" w:rsidRPr="00C32732"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92359B" w:rsidRPr="00C32732" w:rsidRDefault="0092359B" w:rsidP="005B4030">
      <w:pPr>
        <w:rPr>
          <w:rFonts w:ascii="Calibri" w:hAnsi="Calibri"/>
        </w:rPr>
      </w:pP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8"/>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poistná zmluva alebo dodatok a doklad o zaplatení poistnej sumy v prípade, že sa jedná o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 xml:space="preserve"> 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r w:rsidR="001768E1">
        <w:rPr>
          <w:rFonts w:ascii="Calibri" w:hAnsi="Calibri"/>
        </w:rPr>
        <w:t xml:space="preserve"> –</w:t>
      </w:r>
      <w:r w:rsidRPr="00C32732">
        <w:rPr>
          <w:rFonts w:ascii="Calibri" w:hAnsi="Calibri"/>
        </w:rPr>
        <w:t>,</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v prípade, že sa jedná o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C16AB3">
        <w:rPr>
          <w:rFonts w:ascii="Calibri" w:hAnsi="Calibri"/>
        </w:rPr>
        <w:t xml:space="preserve">- </w:t>
      </w:r>
      <w:r w:rsidR="00C16AB3" w:rsidRPr="00EF4AA5">
        <w:rPr>
          <w:rFonts w:ascii="Calibri" w:hAnsi="Calibri"/>
        </w:rPr>
        <w:t>príloha č.</w:t>
      </w:r>
      <w:r w:rsidR="00C16AB3">
        <w:rPr>
          <w:rFonts w:ascii="Calibri" w:hAnsi="Calibri"/>
        </w:rPr>
        <w:t>15...</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9"/>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percentá 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0"/>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Pr="00C32732"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týkajúcej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1"/>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2"/>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Pr="00C32732" w:rsidRDefault="008207C0"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8A5975" w:rsidRDefault="008A5975" w:rsidP="00447E7F">
      <w:pPr>
        <w:spacing w:after="120"/>
        <w:rPr>
          <w:rFonts w:ascii="Calibri" w:hAnsi="Calibri"/>
          <w:b/>
          <w:u w:val="single"/>
        </w:rPr>
      </w:pP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3"/>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6"/>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38" w:name="_Toc286911125"/>
      <w:bookmarkStart w:id="39" w:name="_Toc406485301"/>
      <w:bookmarkStart w:id="40" w:name="_Toc445989774"/>
      <w:r w:rsidRPr="00DD586D">
        <w:rPr>
          <w:rFonts w:ascii="Calibri" w:hAnsi="Calibri"/>
          <w:color w:val="365F91"/>
        </w:rPr>
        <w:t>4.3.4 Účty Prijímateľa</w:t>
      </w:r>
      <w:bookmarkEnd w:id="38"/>
      <w:bookmarkEnd w:id="39"/>
      <w:bookmarkEnd w:id="40"/>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41" w:name="_Toc402361093"/>
      <w:bookmarkStart w:id="42" w:name="_Toc392616958"/>
      <w:r w:rsidRPr="00C32732">
        <w:rPr>
          <w:b/>
        </w:rPr>
        <w:t>Účty Prijímateľa – štátna rozpočtová organizácia</w:t>
      </w:r>
      <w:bookmarkEnd w:id="41"/>
      <w:bookmarkEnd w:id="42"/>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43" w:name="_Toc402361096"/>
      <w:bookmarkStart w:id="44" w:name="_Toc392616961"/>
      <w:r w:rsidRPr="00C32732">
        <w:rPr>
          <w:b/>
        </w:rPr>
        <w:t xml:space="preserve">Účty Prijímateľa – štátna príspevková organizácia </w:t>
      </w:r>
      <w:bookmarkEnd w:id="43"/>
      <w:bookmarkEnd w:id="44"/>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45" w:name="_Toc406485299"/>
      <w:bookmarkStart w:id="46" w:name="_Toc286911123"/>
    </w:p>
    <w:p w:rsidR="008207C0" w:rsidRPr="00DD586D" w:rsidRDefault="008207C0" w:rsidP="00537561">
      <w:pPr>
        <w:pStyle w:val="Nadpis3"/>
        <w:spacing w:before="120"/>
        <w:rPr>
          <w:rFonts w:ascii="Calibri" w:hAnsi="Calibri"/>
          <w:color w:val="365F91"/>
        </w:rPr>
      </w:pPr>
      <w:bookmarkStart w:id="47" w:name="_Toc445989775"/>
      <w:r w:rsidRPr="00DD586D">
        <w:rPr>
          <w:rFonts w:ascii="Calibri" w:hAnsi="Calibri"/>
          <w:color w:val="365F91"/>
        </w:rPr>
        <w:t>4.3.5 Spôsoby financovania projektov</w:t>
      </w:r>
      <w:bookmarkEnd w:id="45"/>
      <w:bookmarkEnd w:id="46"/>
      <w:r w:rsidRPr="00DD586D">
        <w:rPr>
          <w:rStyle w:val="Odkaznapoznmkupodiarou"/>
          <w:rFonts w:ascii="Calibri" w:hAnsi="Calibri"/>
          <w:color w:val="365F91"/>
        </w:rPr>
        <w:footnoteReference w:id="17"/>
      </w:r>
      <w:bookmarkEnd w:id="47"/>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8"/>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C32732" w:rsidRDefault="008207C0" w:rsidP="005B4030">
      <w:pPr>
        <w:pStyle w:val="ListParagraph2"/>
        <w:ind w:left="0"/>
        <w:rPr>
          <w:rFonts w:ascii="Calibri" w:hAnsi="Calibri"/>
        </w:rPr>
      </w:pPr>
    </w:p>
    <w:p w:rsidR="008207C0" w:rsidRPr="00DD586D" w:rsidRDefault="008207C0" w:rsidP="00181B24">
      <w:pPr>
        <w:pStyle w:val="Nadpis3"/>
        <w:rPr>
          <w:rFonts w:ascii="Calibri" w:hAnsi="Calibri"/>
          <w:i/>
          <w:color w:val="365F91"/>
          <w:lang w:eastAsia="sk-SK"/>
        </w:rPr>
      </w:pPr>
      <w:bookmarkStart w:id="48" w:name="_Toc402361105"/>
      <w:bookmarkStart w:id="49" w:name="_Toc392616970"/>
      <w:bookmarkStart w:id="50" w:name="_Toc445989776"/>
      <w:r w:rsidRPr="00DD586D">
        <w:rPr>
          <w:rFonts w:ascii="Calibri" w:hAnsi="Calibri"/>
          <w:i/>
          <w:color w:val="365F91"/>
        </w:rPr>
        <w:t xml:space="preserve">4.3.5.1 Systém </w:t>
      </w:r>
      <w:proofErr w:type="spellStart"/>
      <w:r w:rsidRPr="00DD586D">
        <w:rPr>
          <w:rFonts w:ascii="Calibri" w:hAnsi="Calibri"/>
          <w:i/>
          <w:color w:val="365F91"/>
        </w:rPr>
        <w:t>predfinancovania</w:t>
      </w:r>
      <w:bookmarkEnd w:id="48"/>
      <w:bookmarkEnd w:id="49"/>
      <w:bookmarkEnd w:id="50"/>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51" w:name="_Toc402361108"/>
      <w:bookmarkStart w:id="52" w:name="_Toc392616973"/>
      <w:bookmarkStart w:id="53" w:name="_Toc445989777"/>
      <w:r w:rsidRPr="00DD586D">
        <w:rPr>
          <w:rFonts w:ascii="Calibri" w:hAnsi="Calibri"/>
          <w:i/>
          <w:color w:val="365F91"/>
        </w:rPr>
        <w:t>4.3.5.2 Systém zálohových platieb</w:t>
      </w:r>
      <w:bookmarkEnd w:id="51"/>
      <w:bookmarkEnd w:id="52"/>
      <w:bookmarkEnd w:id="53"/>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xml:space="preserve">, vrátiť platobnej jednotke sumu nezúčtovaného rozdielu.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54" w:name="_Toc402361109"/>
      <w:bookmarkStart w:id="55" w:name="_Toc392616974"/>
      <w:bookmarkStart w:id="56" w:name="_Toc445989778"/>
      <w:r w:rsidRPr="00DD586D">
        <w:rPr>
          <w:rFonts w:ascii="Calibri" w:hAnsi="Calibri"/>
          <w:i/>
          <w:color w:val="365F91"/>
        </w:rPr>
        <w:t>4.3.5.3 Systém refundácie</w:t>
      </w:r>
      <w:bookmarkEnd w:id="54"/>
      <w:bookmarkEnd w:id="55"/>
      <w:bookmarkEnd w:id="56"/>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57" w:name="_Toc406485305"/>
      <w:bookmarkStart w:id="58" w:name="_Toc286911128"/>
      <w:bookmarkStart w:id="59" w:name="_Toc286267638"/>
      <w:bookmarkStart w:id="60" w:name="_Toc286255228"/>
      <w:bookmarkStart w:id="61" w:name="_Toc244589855"/>
      <w:bookmarkStart w:id="62" w:name="_Toc243104321"/>
      <w:bookmarkStart w:id="63" w:name="_Toc242970387"/>
      <w:bookmarkStart w:id="64" w:name="_Toc242970228"/>
      <w:bookmarkStart w:id="65" w:name="_Toc445989779"/>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57"/>
      <w:bookmarkEnd w:id="58"/>
      <w:bookmarkEnd w:id="59"/>
      <w:bookmarkEnd w:id="60"/>
      <w:bookmarkEnd w:id="61"/>
      <w:bookmarkEnd w:id="62"/>
      <w:bookmarkEnd w:id="63"/>
      <w:bookmarkEnd w:id="64"/>
      <w:bookmarkEnd w:id="65"/>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66" w:name="_Toc406485336"/>
      <w:bookmarkStart w:id="67" w:name="_Toc445989780"/>
      <w:r w:rsidRPr="00DD586D">
        <w:rPr>
          <w:rFonts w:ascii="Calibri" w:hAnsi="Calibri"/>
          <w:color w:val="365F91"/>
        </w:rPr>
        <w:t>4.3.6 Nezrovnalosti a vrátenie finančných prostriedkov</w:t>
      </w:r>
      <w:bookmarkEnd w:id="66"/>
      <w:bookmarkEnd w:id="67"/>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68" w:name="_Toc445989781"/>
      <w:r w:rsidRPr="00DD586D">
        <w:rPr>
          <w:rFonts w:ascii="Calibri" w:hAnsi="Calibri"/>
          <w:i/>
          <w:color w:val="365F91"/>
        </w:rPr>
        <w:t>4.3.6.1 Nezrovnalosť</w:t>
      </w:r>
      <w:bookmarkEnd w:id="68"/>
    </w:p>
    <w:p w:rsidR="008207C0" w:rsidRPr="00C32732" w:rsidRDefault="008207C0" w:rsidP="005B4030">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B4030">
      <w:pPr>
        <w:rPr>
          <w:rFonts w:ascii="Calibri" w:hAnsi="Calibri"/>
        </w:rPr>
      </w:pPr>
    </w:p>
    <w:p w:rsidR="008207C0" w:rsidRPr="00C32732" w:rsidRDefault="008207C0" w:rsidP="005B4030">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B4030">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62583D">
      <w:pPr>
        <w:numPr>
          <w:ilvl w:val="0"/>
          <w:numId w:val="16"/>
        </w:numPr>
        <w:spacing w:after="200" w:line="276" w:lineRule="auto"/>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62583D">
      <w:pPr>
        <w:numPr>
          <w:ilvl w:val="0"/>
          <w:numId w:val="16"/>
        </w:numPr>
        <w:spacing w:after="200" w:line="276" w:lineRule="auto"/>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 xml:space="preserve">č. 25/2006 Z. z. o verejnom obstarávaní. </w:t>
      </w:r>
    </w:p>
    <w:p w:rsidR="00865023" w:rsidRPr="00EF4AA5" w:rsidRDefault="00865023" w:rsidP="0062583D">
      <w:pPr>
        <w:numPr>
          <w:ilvl w:val="0"/>
          <w:numId w:val="16"/>
        </w:numPr>
        <w:spacing w:after="200" w:line="276" w:lineRule="auto"/>
        <w:rPr>
          <w:rFonts w:ascii="Calibri" w:hAnsi="Calibri"/>
          <w:b/>
        </w:rPr>
      </w:pPr>
      <w:r w:rsidRPr="00EF4AA5">
        <w:rPr>
          <w:rFonts w:ascii="Calibri" w:hAnsi="Calibri"/>
          <w:b/>
        </w:rPr>
        <w:t>trestný čin podľa zákona č. 300/2005 Z. z. Trestný zákon</w:t>
      </w:r>
    </w:p>
    <w:p w:rsidR="00865023" w:rsidRPr="00EF4AA5" w:rsidRDefault="00865023" w:rsidP="00EF4AA5">
      <w:pPr>
        <w:numPr>
          <w:ilvl w:val="0"/>
          <w:numId w:val="16"/>
        </w:numPr>
        <w:spacing w:after="200" w:line="276" w:lineRule="auto"/>
        <w:rPr>
          <w:rFonts w:ascii="Calibri" w:hAnsi="Calibri"/>
          <w:b/>
        </w:rPr>
      </w:pPr>
      <w:r w:rsidRPr="00EF4AA5">
        <w:rPr>
          <w:rFonts w:ascii="Calibri" w:hAnsi="Calibri"/>
          <w:b/>
        </w:rPr>
        <w:t>porušenie zákona č. 431/2002 Z. z. o účtovníctve.</w:t>
      </w:r>
    </w:p>
    <w:p w:rsidR="00865023" w:rsidRPr="00C32732" w:rsidRDefault="00865023" w:rsidP="00EF4AA5">
      <w:pPr>
        <w:spacing w:after="200" w:line="276" w:lineRule="auto"/>
        <w:ind w:left="720"/>
        <w:rPr>
          <w:rFonts w:ascii="Calibri" w:hAnsi="Calibri"/>
        </w:rPr>
      </w:pPr>
    </w:p>
    <w:p w:rsidR="008207C0" w:rsidRPr="00C32732" w:rsidRDefault="008207C0" w:rsidP="0062583D">
      <w:pPr>
        <w:pStyle w:val="Nadpis7"/>
        <w:numPr>
          <w:ilvl w:val="0"/>
          <w:numId w:val="17"/>
        </w:numPr>
        <w:rPr>
          <w:b/>
        </w:rPr>
      </w:pPr>
      <w:r w:rsidRPr="00C32732">
        <w:rPr>
          <w:b/>
        </w:rPr>
        <w:t xml:space="preserve">Zistenie nezrovnalostí </w:t>
      </w:r>
    </w:p>
    <w:p w:rsidR="008207C0" w:rsidRPr="00C32732" w:rsidRDefault="008207C0" w:rsidP="005B4030">
      <w:pPr>
        <w:rPr>
          <w:rFonts w:ascii="Calibri" w:hAnsi="Calibri"/>
        </w:rPr>
      </w:pPr>
      <w:r w:rsidRPr="00C32732">
        <w:rPr>
          <w:rFonts w:ascii="Calibri" w:hAnsi="Calibri"/>
        </w:rPr>
        <w:t>Nezrovnalosť môže zistiť Poskytovateľ, platobná jednotka, CO, orgán auditu, spolupracujúci orgán, Najvyšší kontrolný úrad SR, Úrad pre verejné obstarávanie, Úrad vlády SR, orgány Európskej komisie, Európsky dvor audítorov alebo Európsky úrad pre boj proti podvodom v rámci výkonu svojich kompetencií.</w:t>
      </w:r>
    </w:p>
    <w:p w:rsidR="008207C0" w:rsidRPr="00C32732" w:rsidRDefault="008207C0" w:rsidP="005B4030">
      <w:pPr>
        <w:rPr>
          <w:rFonts w:ascii="Calibri" w:hAnsi="Calibri"/>
        </w:rPr>
      </w:pPr>
    </w:p>
    <w:p w:rsidR="008207C0" w:rsidRPr="00C32732" w:rsidRDefault="008207C0" w:rsidP="005B4030">
      <w:pPr>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8207C0" w:rsidRPr="00C32732" w:rsidRDefault="008207C0" w:rsidP="005B4030">
      <w:pPr>
        <w:rPr>
          <w:rFonts w:ascii="Calibri" w:hAnsi="Calibri"/>
        </w:rPr>
      </w:pPr>
    </w:p>
    <w:p w:rsidR="008207C0" w:rsidRPr="00C32732" w:rsidRDefault="008207C0" w:rsidP="005B4030">
      <w:pPr>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756DD9">
        <w:rPr>
          <w:rFonts w:ascii="Calibri" w:hAnsi="Calibri"/>
        </w:rPr>
        <w:br/>
      </w:r>
      <w:r w:rsidRPr="00C32732">
        <w:rPr>
          <w:rFonts w:ascii="Calibri" w:hAnsi="Calibri"/>
        </w:rPr>
        <w:t>/doručenie oficiálneho dokumentu podľa typu vykonanej kontroly/auditu/overovania, resp. nadobudnutie právoplatnosti rozhodnutia vydaného v správnom konaní.</w:t>
      </w: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8207C0" w:rsidRPr="00C32732" w:rsidRDefault="008207C0" w:rsidP="002B5459">
      <w:pPr>
        <w:spacing w:after="120"/>
        <w:rPr>
          <w:rFonts w:ascii="Calibri" w:hAnsi="Calibri"/>
        </w:rPr>
      </w:pPr>
      <w:r w:rsidRPr="00C32732">
        <w:rPr>
          <w:rFonts w:ascii="Calibri" w:hAnsi="Calibri"/>
        </w:rPr>
        <w:t xml:space="preserve">Prijímateľ je povinný v stanovenom termíne vrátiť prostriedky na určený účet a následne </w:t>
      </w:r>
      <w:r w:rsidR="00756DD9">
        <w:rPr>
          <w:rFonts w:ascii="Calibri" w:hAnsi="Calibri"/>
        </w:rPr>
        <w:br/>
      </w:r>
      <w:r w:rsidRPr="00C32732">
        <w:rPr>
          <w:rFonts w:ascii="Calibri" w:hAnsi="Calibri"/>
        </w:rPr>
        <w:t xml:space="preserve">do 8 pracovných dní </w:t>
      </w:r>
      <w:r w:rsidR="00A42C21" w:rsidRPr="00C32732">
        <w:rPr>
          <w:rFonts w:ascii="Calibri" w:hAnsi="Calibri"/>
          <w:lang w:eastAsia="sk-SK"/>
        </w:rPr>
        <w:t>odo dňa uskutočnenia úhrady prostriedkov</w:t>
      </w:r>
      <w:r w:rsidR="00A42C21" w:rsidRPr="00C32732">
        <w:rPr>
          <w:rFonts w:ascii="Calibri" w:hAnsi="Calibri"/>
        </w:rPr>
        <w:t xml:space="preserve"> </w:t>
      </w:r>
      <w:r w:rsidRPr="00C32732">
        <w:rPr>
          <w:rFonts w:ascii="Calibri" w:hAnsi="Calibri"/>
        </w:rPr>
        <w:t xml:space="preserve">oznámiť vrátenie finančných prostriedkov formou Oznámenia o </w:t>
      </w:r>
      <w:proofErr w:type="spellStart"/>
      <w:r w:rsidRPr="00C32732">
        <w:rPr>
          <w:rFonts w:ascii="Calibri" w:hAnsi="Calibri"/>
        </w:rPr>
        <w:t>vysporiadaní</w:t>
      </w:r>
      <w:proofErr w:type="spellEnd"/>
      <w:r w:rsidRPr="00C32732">
        <w:rPr>
          <w:rFonts w:ascii="Calibri" w:hAnsi="Calibri"/>
        </w:rPr>
        <w:t xml:space="preserve"> finančných vzťahov</w:t>
      </w:r>
      <w:r w:rsidRPr="00C32732">
        <w:rPr>
          <w:rStyle w:val="Odkaznapoznmkupodiarou"/>
          <w:rFonts w:ascii="Calibri" w:hAnsi="Calibri"/>
        </w:rPr>
        <w:footnoteReference w:id="19"/>
      </w:r>
      <w:r w:rsidRPr="00C32732">
        <w:rPr>
          <w:rFonts w:ascii="Calibri" w:hAnsi="Calibri"/>
        </w:rPr>
        <w:t>, ktorého prílohou bude aj bankový výpis potvrdzujúci vrátenie finančných prostriedkov, resp. vytlačený ELUR potvrdzujúci úpravu rozpočtu.</w:t>
      </w:r>
      <w:r w:rsidR="00A42C21" w:rsidRPr="00C32732">
        <w:rPr>
          <w:rFonts w:ascii="Calibri" w:hAnsi="Calibri"/>
        </w:rPr>
        <w:t xml:space="preserve"> </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B4030">
      <w:pPr>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69" w:name="_Toc402361083"/>
      <w:bookmarkStart w:id="70" w:name="_Toc392616951"/>
      <w:bookmarkStart w:id="71" w:name="_Toc445989782"/>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69"/>
      <w:bookmarkEnd w:id="70"/>
      <w:bookmarkEnd w:id="71"/>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žiadosti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rozhodnutia o schválení žiadosti,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0"/>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1"/>
      </w:r>
      <w:r w:rsidRPr="00C32732">
        <w:rPr>
          <w:rFonts w:ascii="Calibri" w:hAnsi="Calibri"/>
        </w:rPr>
        <w:t>.  Poskytovateľ oznámi výzvu na úhradu dlžníkovi o tom, že eviduje voči nemu pohľadávku a upozorní ho na následky neuhradenia pohľadávky.</w:t>
      </w:r>
    </w:p>
    <w:p w:rsidR="00D77A1E" w:rsidRPr="000D55CB" w:rsidRDefault="00D77A1E" w:rsidP="005B4030">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Prijímateľ, ktorý je štátnou rozpočtovou organizáciou vykoná vrátenie NFP alebo jeho časti formou rozpočtového opatrenia v Rozpočtovom informačnom systéme.</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72" w:name="_Toc402361085"/>
      <w:r w:rsidRPr="002F08B4">
        <w:rPr>
          <w:b/>
          <w:color w:val="365F91"/>
        </w:rPr>
        <w:t>Vzájomné započítanie pohľadávok a záväzkov</w:t>
      </w:r>
      <w:bookmarkEnd w:id="72"/>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2"/>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8207C0" w:rsidRPr="00C32732" w:rsidRDefault="008207C0" w:rsidP="0028107A">
      <w:pPr>
        <w:spacing w:before="120"/>
        <w:rPr>
          <w:rFonts w:ascii="Calibri" w:hAnsi="Calibri"/>
          <w: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73" w:name="_Toc445989783"/>
      <w:r w:rsidRPr="00DD586D">
        <w:rPr>
          <w:rFonts w:ascii="Calibri" w:hAnsi="Calibri"/>
          <w:color w:val="365F91"/>
        </w:rPr>
        <w:t>4.3.7 Odvod výnosov</w:t>
      </w:r>
      <w:bookmarkEnd w:id="73"/>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3"/>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sekcia ekonomicky a technickej správy</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Pr="00C32732" w:rsidRDefault="008207C0" w:rsidP="00416A75">
      <w:pPr>
        <w:rPr>
          <w:rFonts w:ascii="Calibri" w:hAnsi="Calibri"/>
        </w:rPr>
      </w:pPr>
    </w:p>
    <w:p w:rsidR="008207C0" w:rsidRPr="00DD586D" w:rsidRDefault="008207C0" w:rsidP="00FE4B9A">
      <w:pPr>
        <w:pStyle w:val="Nadpis3"/>
        <w:rPr>
          <w:rFonts w:ascii="Calibri" w:hAnsi="Calibri"/>
          <w:color w:val="365F91"/>
        </w:rPr>
      </w:pPr>
      <w:bookmarkStart w:id="74" w:name="_Toc445989784"/>
      <w:r w:rsidRPr="00DD586D">
        <w:rPr>
          <w:rFonts w:ascii="Calibri" w:hAnsi="Calibri"/>
          <w:color w:val="365F91"/>
        </w:rPr>
        <w:t>4.3.8 Účtovníctvo projektu</w:t>
      </w:r>
      <w:bookmarkEnd w:id="74"/>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75" w:name="_Toc445989785"/>
      <w:r w:rsidRPr="00DD586D">
        <w:rPr>
          <w:rFonts w:ascii="Calibri" w:hAnsi="Calibri"/>
          <w:color w:val="365F91"/>
        </w:rPr>
        <w:t>4.4 Monitorovanie projektov</w:t>
      </w:r>
      <w:bookmarkEnd w:id="75"/>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4"/>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76" w:name="_Toc445989786"/>
      <w:r w:rsidRPr="00DD586D">
        <w:rPr>
          <w:rFonts w:ascii="Calibri" w:hAnsi="Calibri"/>
          <w:color w:val="365F91"/>
        </w:rPr>
        <w:t>Monitorovanie počas realizácie projektov</w:t>
      </w:r>
      <w:bookmarkEnd w:id="76"/>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,,výročná“</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 Prvým rokom, ktorý je rozhodujúci pre podanie tejto monitorovacej správy projektu</w:t>
      </w:r>
      <w:r w:rsidR="00112208" w:rsidRPr="00C32732">
        <w:rPr>
          <w:rFonts w:ascii="Calibri" w:hAnsi="Calibri"/>
        </w:rPr>
        <w:t>,</w:t>
      </w:r>
      <w:r w:rsidRPr="00C32732">
        <w:rPr>
          <w:rFonts w:ascii="Calibri" w:hAnsi="Calibri"/>
        </w:rPr>
        <w:t xml:space="preserve"> je rok nasledujúci po roku, v ktorom nadobudla účinnosť Zmluva o poskytnutí NFP</w:t>
      </w:r>
      <w:r w:rsidR="00112208" w:rsidRPr="00C32732">
        <w:rPr>
          <w:rFonts w:ascii="Calibri" w:hAnsi="Calibri"/>
        </w:rPr>
        <w:t xml:space="preserve">. 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naplnenia merateľných ukazovateľov</w:t>
      </w:r>
      <w:r w:rsidRPr="00C32732">
        <w:rPr>
          <w:rFonts w:ascii="Calibri" w:hAnsi="Calibri"/>
          <w:szCs w:val="22"/>
        </w:rPr>
        <w:t>,</w:t>
      </w:r>
    </w:p>
    <w:p w:rsidR="008207C0" w:rsidRPr="00DD586D" w:rsidRDefault="00CC187F" w:rsidP="00DD586D">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77" w:name="_5_2_Monitorovanie_pri"/>
      <w:bookmarkEnd w:id="77"/>
    </w:p>
    <w:p w:rsidR="00DD586D" w:rsidRPr="00DD586D" w:rsidRDefault="00DD586D" w:rsidP="00DD586D">
      <w:pPr>
        <w:ind w:left="284"/>
        <w:rPr>
          <w:rFonts w:ascii="Calibri" w:hAnsi="Calibri"/>
        </w:rPr>
      </w:pPr>
    </w:p>
    <w:p w:rsidR="008207C0" w:rsidRPr="00DD586D" w:rsidRDefault="008207C0" w:rsidP="009D4EF1">
      <w:pPr>
        <w:pStyle w:val="Nadpis3"/>
        <w:spacing w:before="0" w:after="120"/>
        <w:rPr>
          <w:rFonts w:ascii="Calibri" w:hAnsi="Calibri"/>
          <w:color w:val="365F91"/>
        </w:rPr>
      </w:pPr>
      <w:bookmarkStart w:id="78" w:name="_Toc445989787"/>
      <w:r w:rsidRPr="00DD586D">
        <w:rPr>
          <w:rFonts w:ascii="Calibri" w:hAnsi="Calibri"/>
          <w:color w:val="365F91"/>
        </w:rPr>
        <w:t>4.4.2 Monitorovanie pri ukončení realizácie projektov</w:t>
      </w:r>
      <w:bookmarkEnd w:id="78"/>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8207C0" w:rsidRPr="00C32732" w:rsidRDefault="008207C0" w:rsidP="008A2300">
      <w:pPr>
        <w:tabs>
          <w:tab w:val="num" w:pos="1440"/>
        </w:tabs>
        <w:rPr>
          <w:rFonts w:ascii="Calibri" w:hAnsi="Calibri"/>
        </w:rPr>
      </w:pP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25"/>
      </w:r>
      <w:r w:rsidRPr="00C32732">
        <w:rPr>
          <w:rFonts w:ascii="Calibri" w:hAnsi="Calibri"/>
        </w:rPr>
        <w:t xml:space="preserve">, </w:t>
      </w:r>
    </w:p>
    <w:p w:rsidR="002E667E" w:rsidRPr="00C32732" w:rsidRDefault="002E667E" w:rsidP="0062583D">
      <w:pPr>
        <w:numPr>
          <w:ilvl w:val="0"/>
          <w:numId w:val="33"/>
        </w:numPr>
        <w:tabs>
          <w:tab w:val="clear" w:pos="900"/>
          <w:tab w:val="num" w:pos="284"/>
        </w:tabs>
        <w:ind w:left="284" w:hanging="284"/>
        <w:rPr>
          <w:rFonts w:ascii="Calibri" w:hAnsi="Calibri"/>
        </w:rPr>
      </w:pPr>
      <w:r w:rsidRPr="00C32732">
        <w:rPr>
          <w:rFonts w:ascii="Calibri" w:hAnsi="Calibri"/>
        </w:rPr>
        <w:t>udržateľnosť projektu</w:t>
      </w:r>
      <w:r w:rsidR="00132762" w:rsidRPr="00C32732">
        <w:rPr>
          <w:rFonts w:ascii="Calibri" w:hAnsi="Calibri"/>
        </w:rPr>
        <w:t>,</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ďalšiu dokumentáciu požadovanú zo strany Poskytovateľa vo vzťahu k overeniu merateľných ukazovateľov projektu (napr. kolaudačné rozhodnutie, poistné zmluvy a pod.)</w:t>
      </w:r>
      <w:r w:rsidR="00132762" w:rsidRPr="00C32732">
        <w:rPr>
          <w:rFonts w:ascii="Calibri" w:hAnsi="Calibri"/>
        </w:rPr>
        <w:t>.</w:t>
      </w:r>
    </w:p>
    <w:p w:rsidR="00F95FBC" w:rsidRPr="00C32732" w:rsidRDefault="00F95FBC" w:rsidP="0028107A">
      <w:pPr>
        <w:spacing w:before="120" w:after="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aj v tlačenej forme, podpísané štatutárnym orgánom prijímateľa, príp. splnomocneným zástupcom, ktorého podpisový vzor je súčasťou Zmluvy o poskytnutí NFP. Poskytovateľ považuje za doručenie monitorovacej správy deň osobného doručenia Poskytovateľovi alebo deň odovzdania na poštovú prepravu.</w:t>
      </w:r>
    </w:p>
    <w:p w:rsidR="008207C0" w:rsidRPr="00DD586D" w:rsidRDefault="008207C0" w:rsidP="007E25EF">
      <w:pPr>
        <w:pStyle w:val="Nadpis2"/>
        <w:rPr>
          <w:rFonts w:ascii="Calibri" w:hAnsi="Calibri"/>
          <w:color w:val="365F91"/>
        </w:rPr>
      </w:pPr>
      <w:bookmarkStart w:id="79" w:name="_Toc445989788"/>
      <w:r w:rsidRPr="00DD586D">
        <w:rPr>
          <w:rFonts w:ascii="Calibri" w:hAnsi="Calibri"/>
          <w:color w:val="365F91"/>
        </w:rPr>
        <w:t>4.5 Zmeny projektu</w:t>
      </w:r>
      <w:bookmarkEnd w:id="79"/>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 Zmeny majú za cieľ zabezpečiť vhodnejší spôsob realizácie schválených projektov s ohľadom na zmenu východiskovej situácie počas realizácie projektu alebo zohľadniť vopred nepredvídané okolnosti, ktoré nastali počas realizácie projektu ako aj v období jeho udržateľnosti.</w:t>
      </w:r>
      <w:r w:rsidR="00A75BE2" w:rsidRPr="00C32732">
        <w:rPr>
          <w:rFonts w:ascii="Calibri" w:hAnsi="Calibri"/>
        </w:rPr>
        <w:t xml:space="preserve"> Zmenovým konaním </w:t>
      </w:r>
      <w:r w:rsidR="00756DD9">
        <w:rPr>
          <w:rFonts w:ascii="Calibri" w:hAnsi="Calibri"/>
        </w:rPr>
        <w:br/>
      </w:r>
      <w:r w:rsidR="00A75BE2" w:rsidRPr="00C32732">
        <w:rPr>
          <w:rFonts w:ascii="Calibri" w:hAnsi="Calibri"/>
        </w:rPr>
        <w:t>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dosiahnutie/udržanie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C32732">
        <w:rPr>
          <w:rFonts w:ascii="Calibri" w:hAnsi="Calibri"/>
        </w:rPr>
        <w:t xml:space="preserve">významnejšie zmeny projektu sú zmeny, ktoré zásadným spôsobom ovplyvňujú charakter a parametre projektu alebo plnenie podmienok stanovených v Zmluve o poskytnutí NFP alebo </w:t>
      </w:r>
      <w:r w:rsidR="00924F0A" w:rsidRPr="00C32732">
        <w:rPr>
          <w:rFonts w:ascii="Calibri" w:hAnsi="Calibri"/>
        </w:rPr>
        <w:t>v písomnom vyzvaní</w:t>
      </w:r>
      <w:r w:rsidRPr="00C32732">
        <w:rPr>
          <w:rFonts w:ascii="Calibri" w:hAnsi="Calibri"/>
        </w:rPr>
        <w:t>. Vykonávajú sa len na základe vzájomnej dohody oboch Zmluvných strán vo forme písomného a vzostupne očíslovaného dodatku k Zmluve o poskytnutí NFP (podrobnejšie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C32732">
        <w:rPr>
          <w:rFonts w:ascii="Calibri" w:hAnsi="Calibri"/>
        </w:rPr>
        <w:t xml:space="preserve">menej významné zmeny projektu sú zmeny, ktoré zásadným spôsobom neovplyvňujú charakter a parametre projektu alebo plnenie podmienok stanovených v Zmluve o poskytnutí NFP alebo </w:t>
      </w:r>
      <w:r w:rsidR="007912B5" w:rsidRPr="00C32732">
        <w:rPr>
          <w:rFonts w:ascii="Calibri" w:hAnsi="Calibri"/>
        </w:rPr>
        <w:t>v písomnom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 (podrobnejšie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C32732">
        <w:rPr>
          <w:rFonts w:ascii="Calibri" w:hAnsi="Calibri"/>
        </w:rPr>
        <w:t xml:space="preserve">formálne zmeny, sú zmeny, ktoré vecne neovplyvňujú spôsob realizácie aktivít projektu, časový harmonogram a nemajú priamy súvis s dosahovaním, resp. udržaním dosiahnutých 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 (podrobnejšie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C32732">
        <w:rPr>
          <w:rFonts w:ascii="Calibri" w:hAnsi="Calibri"/>
        </w:rPr>
        <w:t xml:space="preserve">podstatné zmeny projektu, ktoré sú definované v čl. 1 ods. 3 VZP a sú vždy spojené </w:t>
      </w:r>
      <w:r w:rsidR="00137F3E">
        <w:rPr>
          <w:rFonts w:ascii="Calibri" w:hAnsi="Calibri"/>
        </w:rPr>
        <w:br/>
      </w:r>
      <w:r w:rsidRPr="00C32732">
        <w:rPr>
          <w:rFonts w:ascii="Calibri" w:hAnsi="Calibri"/>
        </w:rPr>
        <w:t xml:space="preserve">s podstatným porušením povinnosti Prijímateľa a Poskytovateľ je oprávnený odstúpiť </w:t>
      </w:r>
      <w:r w:rsidR="00137F3E">
        <w:rPr>
          <w:rFonts w:ascii="Calibri" w:hAnsi="Calibri"/>
        </w:rPr>
        <w:br/>
      </w:r>
      <w:r w:rsidRPr="00C32732">
        <w:rPr>
          <w:rFonts w:ascii="Calibri" w:hAnsi="Calibri"/>
        </w:rPr>
        <w:t xml:space="preserve">od Zmluvy o poskytnutí NFP pričom Prijímateľ je povinný vrátiť príspevok alebo jeho časť, a to vo výške, ktorá je úmerná obdobiu, počas ktorého došlo k porušeniu podmienok </w:t>
      </w:r>
      <w:r w:rsidR="00137F3E">
        <w:rPr>
          <w:rFonts w:ascii="Calibri" w:hAnsi="Calibri"/>
        </w:rPr>
        <w:br/>
      </w:r>
      <w:r w:rsidRPr="00C32732">
        <w:rPr>
          <w:rFonts w:ascii="Calibri" w:hAnsi="Calibri"/>
        </w:rPr>
        <w:t xml:space="preserve">v dôsledku vzniku podstatnej zmeny projektu (podrobnejšie informácie sú uvedené </w:t>
      </w:r>
      <w:r w:rsidR="00137F3E">
        <w:rPr>
          <w:rFonts w:ascii="Calibri" w:hAnsi="Calibri"/>
        </w:rPr>
        <w:br/>
      </w:r>
      <w:r w:rsidRPr="00C32732">
        <w:rPr>
          <w:rFonts w:ascii="Calibri" w:hAnsi="Calibri"/>
        </w:rPr>
        <w:t xml:space="preserve">v kapitole </w:t>
      </w:r>
      <w:r w:rsidR="007E705B" w:rsidRPr="00C32732">
        <w:rPr>
          <w:rFonts w:ascii="Calibri" w:hAnsi="Calibri"/>
        </w:rPr>
        <w:t>4.5.1.4</w:t>
      </w:r>
      <w:r w:rsidRPr="00C32732">
        <w:rPr>
          <w:rFonts w:ascii="Calibri" w:hAnsi="Calibri"/>
        </w:rPr>
        <w:t xml:space="preserve"> Podstatná zmena projektu);</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C32732">
        <w:rPr>
          <w:rFonts w:ascii="Calibri" w:hAnsi="Calibri"/>
        </w:rPr>
        <w:t>zmena zmluvy a jej príloh (s výnimkou prílohy č.1 VZP) z dôvodu ich aktualizácie;</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C32732">
        <w:rPr>
          <w:rFonts w:ascii="Calibri" w:hAnsi="Calibri"/>
        </w:rPr>
        <w:t xml:space="preserve">zmena VZP z dôvodu ich aktualizácie (podrobnejšie informácie sú uvedené v kapitole </w:t>
      </w:r>
      <w:r w:rsidR="00B176EA" w:rsidRPr="00C32732">
        <w:rPr>
          <w:rFonts w:ascii="Calibri" w:hAnsi="Calibri"/>
        </w:rPr>
        <w:t>4.5.2</w:t>
      </w:r>
      <w:r w:rsidRPr="00C32732">
        <w:rPr>
          <w:rFonts w:ascii="Calibri" w:hAnsi="Calibri"/>
        </w:rPr>
        <w:t>).</w:t>
      </w: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8207C0" w:rsidRPr="00C32732" w:rsidRDefault="008207C0" w:rsidP="00C25B96">
      <w:pPr>
        <w:spacing w:before="120"/>
        <w:rPr>
          <w:rFonts w:ascii="Calibri" w:hAnsi="Calibri"/>
        </w:rPr>
      </w:pPr>
      <w:r w:rsidRPr="00C32732">
        <w:rPr>
          <w:rFonts w:ascii="Calibri" w:hAnsi="Calibri"/>
        </w:rPr>
        <w:t xml:space="preserve">Prijímateľ je povinný predložiť žiadosť o zmenu </w:t>
      </w:r>
      <w:r w:rsidR="00C25B96" w:rsidRPr="00C32732">
        <w:rPr>
          <w:rFonts w:ascii="Calibri" w:hAnsi="Calibri"/>
        </w:rPr>
        <w:t>projektu</w:t>
      </w:r>
      <w:r w:rsidR="00A42C21" w:rsidRPr="00C32732">
        <w:rPr>
          <w:rFonts w:ascii="Calibri" w:hAnsi="Calibri"/>
        </w:rPr>
        <w:t>/Zmluvy</w:t>
      </w:r>
      <w:r w:rsidR="00C25B96" w:rsidRPr="00C32732">
        <w:rPr>
          <w:rFonts w:ascii="Calibri" w:hAnsi="Calibri"/>
        </w:rPr>
        <w:t xml:space="preserve"> </w:t>
      </w:r>
      <w:r w:rsidRPr="00C32732">
        <w:rPr>
          <w:rFonts w:ascii="Calibri" w:hAnsi="Calibri"/>
        </w:rPr>
        <w:t xml:space="preserve">na formulári „Žiadosť </w:t>
      </w:r>
      <w:r w:rsidR="00137F3E">
        <w:rPr>
          <w:rFonts w:ascii="Calibri" w:hAnsi="Calibri"/>
        </w:rPr>
        <w:br/>
      </w:r>
      <w:r w:rsidRPr="00C32732">
        <w:rPr>
          <w:rFonts w:ascii="Calibri" w:hAnsi="Calibri"/>
        </w:rPr>
        <w:t xml:space="preserve">o zmenu </w:t>
      </w:r>
      <w:r w:rsidR="00C25B96" w:rsidRPr="00C32732">
        <w:rPr>
          <w:rFonts w:ascii="Calibri" w:hAnsi="Calibri"/>
        </w:rPr>
        <w:t>projektu</w:t>
      </w:r>
      <w:r w:rsidRPr="00C32732">
        <w:rPr>
          <w:rFonts w:ascii="Calibri" w:hAnsi="Calibri"/>
        </w:rPr>
        <w:t>“ (príloha</w:t>
      </w:r>
      <w:r w:rsidR="00E57475" w:rsidRPr="00C32732">
        <w:rPr>
          <w:rFonts w:ascii="Calibri" w:hAnsi="Calibri"/>
        </w:rPr>
        <w:t xml:space="preserve"> č. 9</w:t>
      </w:r>
      <w:r w:rsidRPr="00C32732">
        <w:rPr>
          <w:rFonts w:ascii="Calibri" w:hAnsi="Calibri"/>
        </w:rPr>
        <w:t xml:space="preserve">). 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splnomocneným zástupcom. Elektronická forma žiadosti o zmenu </w:t>
      </w:r>
      <w:r w:rsidR="00C83198" w:rsidRPr="00C32732">
        <w:rPr>
          <w:rFonts w:ascii="Calibri" w:hAnsi="Calibri"/>
        </w:rPr>
        <w:t>projektu/Zmluvy</w:t>
      </w:r>
      <w:r w:rsidRPr="00C32732">
        <w:rPr>
          <w:rFonts w:ascii="Calibri" w:hAnsi="Calibri"/>
        </w:rPr>
        <w:t xml:space="preserve"> je len technickou pomôckou pre spracovanie žiadosti o zmenu, pričom oficiálnou verziou je písomná forma a termínom doručenia žiadosti o zmenu </w:t>
      </w:r>
      <w:r w:rsidR="00C83198" w:rsidRPr="00C32732">
        <w:rPr>
          <w:rFonts w:ascii="Calibri" w:hAnsi="Calibri"/>
        </w:rPr>
        <w:t>projektu/Zmluvy</w:t>
      </w:r>
      <w:r w:rsidRPr="00C32732">
        <w:rPr>
          <w:rFonts w:ascii="Calibri" w:hAnsi="Calibri"/>
        </w:rPr>
        <w:t xml:space="preserve"> je termín doručenia jej písomnej formy Poskytovateľovi.   </w:t>
      </w:r>
      <w:r w:rsidR="00C83198"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 xml:space="preserve"> / 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C32732">
        <w:rPr>
          <w:rFonts w:ascii="Calibri" w:hAnsi="Calibri"/>
        </w:rPr>
        <w:t xml:space="preserve">Každá žiadosť o vykonanie zmeny </w:t>
      </w:r>
      <w:r w:rsidR="00C83198" w:rsidRPr="00C32732">
        <w:rPr>
          <w:rFonts w:ascii="Calibri" w:hAnsi="Calibri"/>
        </w:rPr>
        <w:t>projektu/Zmluvy</w:t>
      </w:r>
      <w:r w:rsidRPr="00C32732">
        <w:rPr>
          <w:rFonts w:ascii="Calibri" w:hAnsi="Calibri"/>
        </w:rPr>
        <w:t xml:space="preserve"> musí okrem iného obsahovať najmä nasledujúce prílohy (ak relevantné):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 / 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realizácie aktivít projektu</w:t>
      </w:r>
      <w:r w:rsidR="00C25B96" w:rsidRPr="00C32732">
        <w:rPr>
          <w:rFonts w:ascii="Calibri" w:hAnsi="Calibri"/>
        </w:rPr>
        <w:t xml:space="preserve">, najneskôr 30 dní pred uplynutím termínu </w:t>
      </w:r>
      <w:r w:rsidR="00C25B96" w:rsidRPr="00C32732">
        <w:rPr>
          <w:rFonts w:ascii="Calibri" w:hAnsi="Calibri"/>
          <w:bCs/>
        </w:rPr>
        <w:t xml:space="preserve">ukončenia realizácie aktivít Projektu uvedenom v rozhodnutí o schválení </w:t>
      </w:r>
      <w:proofErr w:type="spellStart"/>
      <w:r w:rsidR="00C25B96" w:rsidRPr="00C32732">
        <w:rPr>
          <w:rFonts w:ascii="Calibri" w:hAnsi="Calibri"/>
          <w:bCs/>
        </w:rPr>
        <w:t>ŽoNFP</w:t>
      </w:r>
      <w:proofErr w:type="spellEnd"/>
      <w:r w:rsidR="00C25B96" w:rsidRPr="00C32732">
        <w:rPr>
          <w:rFonts w:ascii="Calibri" w:hAnsi="Calibri"/>
          <w:bCs/>
        </w:rPr>
        <w:t xml:space="preserve"> resp. Predmete podpory / 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Pr="00C32732"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žiadosti o NFP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8207C0" w:rsidRPr="00C32732" w:rsidRDefault="008207C0" w:rsidP="00EF2A45">
      <w:pPr>
        <w:spacing w:before="120"/>
        <w:rPr>
          <w:rFonts w:ascii="Calibri" w:hAnsi="Calibri"/>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 xml:space="preserve">odatku k Zmluve o poskytnutí NFP v </w:t>
      </w:r>
      <w:r w:rsidR="006529AB">
        <w:rPr>
          <w:rFonts w:ascii="Calibri" w:hAnsi="Calibri"/>
        </w:rPr>
        <w:t>počte</w:t>
      </w:r>
      <w:r w:rsidR="006529AB" w:rsidRPr="00C32732">
        <w:rPr>
          <w:rFonts w:ascii="Calibri" w:hAnsi="Calibri"/>
        </w:rPr>
        <w:t xml:space="preserve"> rovnopiso</w:t>
      </w:r>
      <w:r w:rsidR="006529AB">
        <w:rPr>
          <w:rFonts w:ascii="Calibri" w:hAnsi="Calibri"/>
        </w:rPr>
        <w:t>v</w:t>
      </w:r>
      <w:r w:rsidRPr="00C32732">
        <w:rPr>
          <w:rFonts w:ascii="Calibri" w:hAnsi="Calibri"/>
        </w:rPr>
        <w:t xml:space="preserve">, </w:t>
      </w:r>
      <w:r w:rsidR="006529AB">
        <w:rPr>
          <w:rFonts w:ascii="Calibri" w:hAnsi="Calibri"/>
        </w:rPr>
        <w:t xml:space="preserve">v akom bola vyhotovená pôvodná Zmluva, </w:t>
      </w:r>
      <w:r w:rsidRPr="00C32732">
        <w:rPr>
          <w:rFonts w:ascii="Calibri" w:hAnsi="Calibri"/>
        </w:rPr>
        <w:t>ktoré sú po podpise štatutárnym orgánom Poskytovateľa, resp. jeho zástupcom zaslané Prijímateľovi na oboznámenie sa s ich obsahom a následné podpísanie. Prijímateľ podpíše všetk</w:t>
      </w:r>
      <w:r w:rsidR="00010383" w:rsidRPr="00C32732">
        <w:rPr>
          <w:rFonts w:ascii="Calibri" w:hAnsi="Calibri"/>
        </w:rPr>
        <w:t>y</w:t>
      </w:r>
      <w:r w:rsidRPr="00C32732">
        <w:rPr>
          <w:rFonts w:ascii="Calibri" w:hAnsi="Calibri"/>
        </w:rPr>
        <w:t xml:space="preserve"> rovnopis</w:t>
      </w:r>
      <w:r w:rsidR="00010383" w:rsidRPr="00C32732">
        <w:rPr>
          <w:rFonts w:ascii="Calibri" w:hAnsi="Calibri"/>
        </w:rPr>
        <w:t>y</w:t>
      </w:r>
      <w:r w:rsidRPr="00C32732">
        <w:rPr>
          <w:rFonts w:ascii="Calibri" w:hAnsi="Calibri"/>
        </w:rPr>
        <w:t xml:space="preserve"> a rovnopisy </w:t>
      </w:r>
      <w:r w:rsidR="001871B5">
        <w:rPr>
          <w:rFonts w:ascii="Calibri" w:hAnsi="Calibri"/>
        </w:rPr>
        <w:t xml:space="preserve">prislúchajúce Poskytovateľovi </w:t>
      </w:r>
      <w:r w:rsidRPr="00C32732">
        <w:rPr>
          <w:rFonts w:ascii="Calibri" w:hAnsi="Calibri"/>
        </w:rPr>
        <w:t xml:space="preserve">doručí listom </w:t>
      </w:r>
      <w:r w:rsidR="00F46C7A">
        <w:rPr>
          <w:rFonts w:ascii="Calibri" w:hAnsi="Calibri"/>
        </w:rPr>
        <w:br/>
      </w:r>
      <w:r w:rsidRPr="00C32732">
        <w:rPr>
          <w:rFonts w:ascii="Calibri" w:hAnsi="Calibri"/>
        </w:rPr>
        <w:t xml:space="preserve">s doručenkou späť do 5 pracovných dní odo dňa doručenia návrhu Dodatku k Zmluve o poskytnutí NFP zo strany Poskytovateľa ak Poskytovateľ neurčí inak.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nadobúda platnosť dňom neskoršieho podpisu zmluvných strán a  účinnosť v súlade s § 47a ods.2 Občianskeho zákonníka nadobúda dňom nasledujúcim po dni jeho zverejnenia Poskytovateľom v Centrálnom registri zmlúv.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 xml:space="preserve">o slobodnom prístupe k informáciám v znení neskorších predpisov, je pre nadobudnutie účinnosti rozhodujúce prvé zverejnenie Dodatku k Zmluve o poskytnutí NFP. </w:t>
      </w:r>
      <w:r w:rsidRPr="00C32732">
        <w:rPr>
          <w:rFonts w:ascii="Calibri" w:eastAsia="Times New Roman" w:hAnsi="Calibri"/>
        </w:rPr>
        <w:t xml:space="preserve">Zmluvné strany sa vzájomne informujú o dátume zverejnenia </w:t>
      </w:r>
      <w:r w:rsidRPr="00C32732">
        <w:rPr>
          <w:rFonts w:ascii="Calibri" w:hAnsi="Calibri"/>
        </w:rPr>
        <w:t>Dodatku k Zmluve o poskytnutí NFP.</w:t>
      </w:r>
    </w:p>
    <w:p w:rsidR="0079520C" w:rsidRPr="00C32732" w:rsidRDefault="0079520C" w:rsidP="00EF2A45">
      <w:pPr>
        <w:spacing w:before="120" w:after="120"/>
        <w:rPr>
          <w:rFonts w:ascii="Calibri" w:hAnsi="Calibri"/>
        </w:rPr>
      </w:pPr>
      <w:r w:rsidRPr="00C32732">
        <w:rPr>
          <w:rFonts w:ascii="Calibri" w:hAnsi="Calibri"/>
        </w:rPr>
        <w:t xml:space="preserve">Poskytovateľ je oprávnený rozhodnúť, že návrh dodatku k Zmluve o poskytnutí NFP bude odovzdaný Prijímateľovi po dohode s ním na pracovisku Poskytovateľa. Prijímateľ </w:t>
      </w:r>
      <w:r w:rsidR="00F46C7A">
        <w:rPr>
          <w:rFonts w:ascii="Calibri" w:hAnsi="Calibri"/>
        </w:rPr>
        <w:br/>
      </w:r>
      <w:r w:rsidRPr="00C32732">
        <w:rPr>
          <w:rFonts w:ascii="Calibri" w:hAnsi="Calibri"/>
        </w:rPr>
        <w:t xml:space="preserve">je oprávnený rozhodnúť sa nevyužiť lehotu určenú Poskytovateľom na prijatie návrhu dodatku k Zmluve o poskytnutí NFP a o následnom prijatí resp. odmietnutí návrhu </w:t>
      </w:r>
      <w:r w:rsidR="00F46C7A">
        <w:rPr>
          <w:rFonts w:ascii="Calibri" w:hAnsi="Calibri"/>
        </w:rPr>
        <w:br/>
      </w:r>
      <w:r w:rsidRPr="00C32732">
        <w:rPr>
          <w:rFonts w:ascii="Calibri" w:hAnsi="Calibri"/>
        </w:rPr>
        <w:t xml:space="preserve">na uzavretie Dodatku k Zmluve o poskytnutí NFP.  </w:t>
      </w: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E92475" w:rsidP="002F08B4">
      <w:pPr>
        <w:shd w:val="clear" w:color="auto" w:fill="FBD4B4" w:themeFill="accent6" w:themeFillTint="66"/>
        <w:rPr>
          <w:rFonts w:ascii="Calibri" w:hAnsi="Calibri"/>
          <w:b/>
          <w:color w:val="365F91"/>
        </w:rPr>
      </w:pPr>
      <w:r w:rsidRPr="001871B5">
        <w:rPr>
          <w:rFonts w:ascii="Calibri" w:hAnsi="Calibri"/>
          <w:b/>
          <w:color w:val="365F91"/>
        </w:rPr>
        <w:t>Rozhodnutie o zmene rozhodnutia o schválení</w:t>
      </w:r>
    </w:p>
    <w:p w:rsidR="00B303F6" w:rsidRPr="00C32732" w:rsidRDefault="00E92475" w:rsidP="00EF2A45">
      <w:pPr>
        <w:spacing w:before="120"/>
        <w:rPr>
          <w:rFonts w:ascii="Calibri" w:hAnsi="Calibri"/>
        </w:rPr>
      </w:pPr>
      <w:r w:rsidRPr="00C32732">
        <w:rPr>
          <w:rFonts w:ascii="Calibri" w:hAnsi="Calibri"/>
          <w:bCs/>
        </w:rPr>
        <w:t xml:space="preserve">Pri projektoch, kde Rozhodnutie o schválení 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vypracuje návrh Rozhodnutia o zmene rozhodnutia o schválení v</w:t>
      </w:r>
      <w:r w:rsidR="00053BD7">
        <w:rPr>
          <w:rFonts w:ascii="Calibri" w:hAnsi="Calibri"/>
        </w:rPr>
        <w:t xml:space="preserve">  počte rovnopisov, v akom bolo vyhotovené pôvodné Rozhodnutie o schválení </w:t>
      </w:r>
      <w:proofErr w:type="spellStart"/>
      <w:r w:rsidR="00053BD7">
        <w:rPr>
          <w:rFonts w:ascii="Calibri" w:hAnsi="Calibri"/>
        </w:rPr>
        <w:t>ŽoNFP</w:t>
      </w:r>
      <w:proofErr w:type="spellEnd"/>
      <w:r w:rsidR="00053BD7">
        <w:rPr>
          <w:rFonts w:ascii="Calibri" w:hAnsi="Calibri"/>
        </w:rPr>
        <w:t xml:space="preserve"> a </w:t>
      </w:r>
      <w:r w:rsidR="00B303F6" w:rsidRPr="00C32732">
        <w:rPr>
          <w:rFonts w:ascii="Calibri" w:hAnsi="Calibri"/>
        </w:rPr>
        <w:t xml:space="preserve">po podpise štatutárnym orgánom Poskytovateľa, resp. jeho zástupcom </w:t>
      </w:r>
      <w:r w:rsidR="00053BD7">
        <w:rPr>
          <w:rFonts w:ascii="Calibri" w:hAnsi="Calibri"/>
        </w:rPr>
        <w:t xml:space="preserve">zašle príslušný počet rovnopis </w:t>
      </w:r>
      <w:r w:rsidR="00B303F6" w:rsidRPr="00C32732">
        <w:rPr>
          <w:rFonts w:ascii="Calibri" w:hAnsi="Calibri"/>
        </w:rPr>
        <w:t xml:space="preserve"> Prijímateľovi</w:t>
      </w:r>
      <w:r w:rsidR="00053BD7">
        <w:rPr>
          <w:rFonts w:ascii="Calibri" w:hAnsi="Calibri"/>
        </w:rPr>
        <w:t>.</w:t>
      </w:r>
      <w:r w:rsidR="00B303F6" w:rsidRPr="00C32732">
        <w:rPr>
          <w:rFonts w:ascii="Calibri" w:hAnsi="Calibri"/>
        </w:rPr>
        <w:t xml:space="preserve"> Rozhodnutie o zmene rozhodnutia </w:t>
      </w:r>
      <w:r w:rsidR="00FE3B55" w:rsidRPr="00C32732">
        <w:rPr>
          <w:rFonts w:ascii="Calibri" w:eastAsia="Times New Roman" w:hAnsi="Calibri"/>
          <w:lang w:eastAsia="en-US"/>
        </w:rPr>
        <w:t>nadobúda platnosť dňom podpisu štatutárnym orgánom RO a účinnosť dňom nasledujúcim po dni jeho zverejnenia v Centrálnom registri projektov</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80" w:name="_Toc445989789"/>
      <w:r w:rsidRPr="00C32732">
        <w:rPr>
          <w:rFonts w:ascii="Calibri" w:hAnsi="Calibri"/>
        </w:rPr>
        <w:t xml:space="preserve">4.5.1 </w:t>
      </w:r>
      <w:r w:rsidRPr="00DD586D">
        <w:rPr>
          <w:rStyle w:val="Nadpis2Char"/>
          <w:rFonts w:ascii="Calibri" w:hAnsi="Calibri"/>
          <w:b/>
          <w:i w:val="0"/>
          <w:color w:val="365F91"/>
          <w:szCs w:val="28"/>
          <w:lang w:val="sk-SK"/>
        </w:rPr>
        <w:t>Zmenové konanie z iniciatívy Prijímateľa</w:t>
      </w:r>
      <w:bookmarkEnd w:id="80"/>
    </w:p>
    <w:p w:rsidR="008207C0" w:rsidRPr="00DD586D" w:rsidRDefault="008207C0" w:rsidP="00181B24">
      <w:pPr>
        <w:pStyle w:val="Nadpis3"/>
        <w:rPr>
          <w:rFonts w:ascii="Calibri" w:hAnsi="Calibri"/>
          <w:i/>
          <w:color w:val="365F91"/>
        </w:rPr>
      </w:pPr>
      <w:bookmarkStart w:id="81" w:name="_Toc445989790"/>
      <w:r w:rsidRPr="00DD586D">
        <w:rPr>
          <w:rFonts w:ascii="Calibri" w:hAnsi="Calibri"/>
          <w:i/>
          <w:color w:val="365F91"/>
        </w:rPr>
        <w:t>4.5.1.1 Formálna zmena</w:t>
      </w:r>
      <w:bookmarkEnd w:id="81"/>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00F46B76" w:rsidRPr="006B37B3">
        <w:rPr>
          <w:rFonts w:ascii="Calibri" w:hAnsi="Calibri"/>
        </w:rPr>
        <w:t xml:space="preserve">/Rozhodnutia </w:t>
      </w:r>
      <w:r w:rsidR="00F46C7A">
        <w:rPr>
          <w:rFonts w:ascii="Calibri" w:hAnsi="Calibri"/>
        </w:rPr>
        <w:br/>
      </w:r>
      <w:r w:rsidR="00F46B76" w:rsidRPr="006B37B3">
        <w:rPr>
          <w:rFonts w:ascii="Calibri" w:hAnsi="Calibri"/>
        </w:rPr>
        <w:t>o schválení</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82" w:name="_Toc445989791"/>
      <w:r w:rsidRPr="00DD586D">
        <w:rPr>
          <w:rFonts w:ascii="Calibri" w:hAnsi="Calibri"/>
          <w:i/>
          <w:color w:val="365F91"/>
        </w:rPr>
        <w:t>4.5.1.2 Menej významná zmena projektu</w:t>
      </w:r>
      <w:bookmarkEnd w:id="82"/>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26"/>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6E5E87" w:rsidRPr="00C32732">
        <w:rPr>
          <w:rFonts w:ascii="Calibri" w:hAnsi="Calibri"/>
          <w:b/>
        </w:rPr>
        <w:t xml:space="preserve"> </w:t>
      </w:r>
      <w:r w:rsidR="006E5E87" w:rsidRPr="00C32732">
        <w:rPr>
          <w:rFonts w:ascii="Calibri" w:hAnsi="Calibri"/>
        </w:rPr>
        <w:t xml:space="preserve">prostredníctvom formuláru Oznámenie o zmene projektu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písomného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83" w:name="_Toc445989792"/>
      <w:r w:rsidRPr="00DD586D">
        <w:rPr>
          <w:rFonts w:ascii="Calibri" w:hAnsi="Calibri"/>
          <w:i/>
          <w:color w:val="365F91"/>
        </w:rPr>
        <w:t>4.5.1.3 Významnejšia zmena projektu</w:t>
      </w:r>
      <w:bookmarkEnd w:id="83"/>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písomného a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C75494" w:rsidRPr="00C32732" w:rsidRDefault="00C75494" w:rsidP="00C75494">
      <w:pPr>
        <w:tabs>
          <w:tab w:val="left" w:pos="6480"/>
        </w:tabs>
        <w:spacing w:before="120"/>
        <w:rPr>
          <w:rFonts w:ascii="Calibri" w:hAnsi="Calibri"/>
        </w:rPr>
      </w:pPr>
      <w:r w:rsidRPr="00C32732">
        <w:rPr>
          <w:rFonts w:ascii="Calibri" w:hAnsi="Calibri"/>
        </w:rPr>
        <w:t>Ak v rámci akejkoľvek zmeny projektu, Poskytovateľ zistí, že nastala podstatná zmena projektu (definovaná v kapitole 4.5.1.4 Podstatná zmena</w:t>
      </w:r>
      <w:r w:rsidRPr="00C32732" w:rsidDel="00D65EA7">
        <w:rPr>
          <w:rFonts w:ascii="Calibri" w:hAnsi="Calibri"/>
        </w:rPr>
        <w:t xml:space="preserve"> </w:t>
      </w:r>
      <w:r w:rsidRPr="00C32732">
        <w:rPr>
          <w:rFonts w:ascii="Calibri" w:hAnsi="Calibri"/>
        </w:rPr>
        <w:t>), uvedenú žiadosť o zmenu Zmluvy zamietne.</w:t>
      </w:r>
      <w:r w:rsidR="00FE3482" w:rsidRPr="00C32732">
        <w:rPr>
          <w:rFonts w:ascii="Calibri" w:hAnsi="Calibri"/>
        </w:rPr>
        <w:t xml:space="preserve"> </w:t>
      </w:r>
      <w:r w:rsidRPr="00C32732">
        <w:rPr>
          <w:rFonts w:ascii="Calibri" w:hAnsi="Calibri"/>
        </w:rPr>
        <w:t xml:space="preserve">Ak Poskytovateľ zistí, že v rámci projektu nastala podstatná zmena projektu, ide o dôsledok podstatného porušenia povinností Prijímateľom a Poskytovateľ je oprávnený odstúpiť od Zmluvy o poskytnutí NFP s povinnosťou vrátenia NFP alebo jeho časti. </w:t>
      </w:r>
    </w:p>
    <w:p w:rsidR="008207C0" w:rsidRPr="00DD586D" w:rsidRDefault="008207C0" w:rsidP="00FE4B9A">
      <w:pPr>
        <w:pStyle w:val="Nadpis3"/>
        <w:rPr>
          <w:rFonts w:ascii="Calibri" w:hAnsi="Calibri"/>
          <w:i/>
          <w:color w:val="365F91"/>
        </w:rPr>
      </w:pPr>
      <w:bookmarkStart w:id="84" w:name="_Toc445989793"/>
      <w:r w:rsidRPr="00DD586D">
        <w:rPr>
          <w:rFonts w:ascii="Calibri" w:hAnsi="Calibri"/>
          <w:i/>
          <w:color w:val="365F91"/>
        </w:rPr>
        <w:t>4.5.1.3.1 Zmena miesta realizácie projektu</w:t>
      </w:r>
      <w:bookmarkEnd w:id="84"/>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85" w:name="_Toc445989794"/>
      <w:r w:rsidRPr="00DD586D">
        <w:rPr>
          <w:rFonts w:ascii="Calibri" w:hAnsi="Calibri"/>
          <w:i/>
          <w:color w:val="365F91"/>
        </w:rPr>
        <w:t>4.5.1.3.2 Zmena merateľných ukazovateľov projektu</w:t>
      </w:r>
      <w:bookmarkEnd w:id="85"/>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p>
    <w:p w:rsidR="008207C0" w:rsidRPr="00DD586D" w:rsidRDefault="008207C0" w:rsidP="00FE4B9A">
      <w:pPr>
        <w:pStyle w:val="Nadpis3"/>
        <w:rPr>
          <w:rFonts w:ascii="Calibri" w:hAnsi="Calibri"/>
          <w:i/>
          <w:color w:val="365F91"/>
        </w:rPr>
      </w:pPr>
      <w:bookmarkStart w:id="86" w:name="_Toc445989795"/>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86"/>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87" w:name="_Toc445989796"/>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87"/>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27"/>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písomného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88" w:name="_Toc445989797"/>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88"/>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89" w:name="_Toc445989798"/>
      <w:r w:rsidRPr="00DD586D">
        <w:rPr>
          <w:rFonts w:ascii="Calibri" w:hAnsi="Calibri"/>
          <w:i/>
          <w:color w:val="365F91"/>
        </w:rPr>
        <w:t>4.5.1.3.6 Zmena majetkovo - právnych pomerov týkajúcich sa predmetu projektu</w:t>
      </w:r>
      <w:bookmarkEnd w:id="89"/>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181B24">
      <w:pPr>
        <w:pStyle w:val="Nadpis3"/>
        <w:rPr>
          <w:rFonts w:ascii="Calibri" w:hAnsi="Calibri"/>
          <w:i/>
          <w:color w:val="365F91"/>
        </w:rPr>
      </w:pPr>
      <w:bookmarkStart w:id="90" w:name="_Toc445989799"/>
      <w:r w:rsidRPr="00DD586D">
        <w:rPr>
          <w:rFonts w:ascii="Calibri" w:hAnsi="Calibri"/>
          <w:i/>
          <w:color w:val="365F91"/>
        </w:rPr>
        <w:t>4.5.1.4 Podstatná zmena projektu</w:t>
      </w:r>
      <w:bookmarkEnd w:id="90"/>
    </w:p>
    <w:p w:rsidR="008207C0" w:rsidRPr="00DD586D" w:rsidRDefault="008207C0" w:rsidP="007E25EF">
      <w:pPr>
        <w:spacing w:before="120"/>
        <w:rPr>
          <w:rFonts w:ascii="Calibri" w:hAnsi="Calibri"/>
          <w:b/>
          <w:color w:val="365F91"/>
        </w:rPr>
      </w:pPr>
      <w:r w:rsidRPr="00DD586D">
        <w:rPr>
          <w:rFonts w:ascii="Calibri" w:hAnsi="Calibri"/>
          <w:b/>
          <w:color w:val="365F91"/>
        </w:rPr>
        <w:t>Podstatnú zmenu projektu je Prijímateľ povinný oznámiť Poskytovateľovi bezodkladne, pričom bez ohľadu na zaslanú informáciu je vznik podstatnej zmeny projektu vždy spojený s povinnosťou Prijímateľa vrátiť príspevok alebo jeho časť, a to vo výške, ktorá je úmerná obdobiu, počas ktorého došlo k porušeniu podmienok v dôsledku vzniku podstatnej zmeny projektu.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žiadosti o zmenu </w:t>
      </w:r>
      <w:r w:rsidR="003F0579" w:rsidRPr="00C32732">
        <w:rPr>
          <w:rFonts w:ascii="Calibri" w:hAnsi="Calibri"/>
        </w:rPr>
        <w:t>projektu</w:t>
      </w:r>
      <w:r w:rsidRPr="00C32732">
        <w:rPr>
          <w:rFonts w:ascii="Calibri" w:hAnsi="Calibri"/>
        </w:rPr>
        <w:t xml:space="preserve"> týkajúcej sa miesta realizácie projektu a miesta, kde </w:t>
      </w:r>
      <w:r w:rsidR="00F46C7A">
        <w:rPr>
          <w:rFonts w:ascii="Calibri" w:hAnsi="Calibri"/>
        </w:rPr>
        <w:br/>
      </w:r>
      <w:r w:rsidRPr="00C32732">
        <w:rPr>
          <w:rFonts w:ascii="Calibri" w:hAnsi="Calibri"/>
        </w:rPr>
        <w:t>sa nachádza predmet projektu</w:t>
      </w:r>
      <w:r w:rsidR="00D15F86" w:rsidRPr="00C32732">
        <w:rPr>
          <w:rFonts w:ascii="Calibri" w:hAnsi="Calibri"/>
        </w:rPr>
        <w:t xml:space="preserve">, </w:t>
      </w:r>
      <w:r w:rsidRPr="00C32732">
        <w:rPr>
          <w:rFonts w:ascii="Calibri" w:hAnsi="Calibri"/>
        </w:rPr>
        <w:t xml:space="preserve">pôjde o podstatnú zmenu projektu najmä v prípade, ak dôjde k premiestneniu mimo oprávnené územie/miesto vymedzené </w:t>
      </w:r>
      <w:r w:rsidR="007912B5" w:rsidRPr="00C32732">
        <w:rPr>
          <w:rFonts w:ascii="Calibri" w:hAnsi="Calibri"/>
        </w:rPr>
        <w:t>písomnom vyzvaní</w:t>
      </w:r>
      <w:r w:rsidRPr="00C32732">
        <w:rPr>
          <w:rFonts w:ascii="Calibri" w:hAnsi="Calibri"/>
        </w:rPr>
        <w:t xml:space="preserve">. </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žiadosti o zmenu </w:t>
      </w:r>
      <w:r w:rsidR="003F0579" w:rsidRPr="00C32732">
        <w:rPr>
          <w:rFonts w:ascii="Calibri" w:hAnsi="Calibri"/>
        </w:rPr>
        <w:t>projektu</w:t>
      </w:r>
      <w:r w:rsidRPr="00C32732">
        <w:rPr>
          <w:rFonts w:ascii="Calibri" w:hAnsi="Calibri"/>
        </w:rPr>
        <w:t xml:space="preserve"> týkajúcej sa zmeny počtu alebo charakteru/povahy aktivít projektu alebo podmienok realizácie projektu pôjde o podstatnú zmenu projektu najmä v prípade, ak posudzovaná zmena viedla k tomu, že by sa činnosť, na ktorú </w:t>
      </w:r>
      <w:r w:rsidR="00F46C7A">
        <w:rPr>
          <w:rFonts w:ascii="Calibri" w:hAnsi="Calibri"/>
        </w:rPr>
        <w:br/>
      </w:r>
      <w:r w:rsidRPr="00C32732">
        <w:rPr>
          <w:rFonts w:ascii="Calibri" w:hAnsi="Calibri"/>
        </w:rPr>
        <w:t xml:space="preserve">sa má príspevok poskytnúť po vykonanej zmene, odchýlila od svojho cieľa v tom zmysle, </w:t>
      </w:r>
      <w:r w:rsidR="00F46C7A">
        <w:rPr>
          <w:rFonts w:ascii="Calibri" w:hAnsi="Calibri"/>
        </w:rPr>
        <w:br/>
      </w:r>
      <w:r w:rsidRPr="00C32732">
        <w:rPr>
          <w:rFonts w:ascii="Calibri" w:hAnsi="Calibri"/>
        </w:rPr>
        <w:t xml:space="preserve">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w:t>
      </w:r>
    </w:p>
    <w:p w:rsidR="008207C0" w:rsidRPr="00C32732" w:rsidRDefault="008207C0" w:rsidP="00D15F86">
      <w:pPr>
        <w:tabs>
          <w:tab w:val="left" w:pos="6480"/>
        </w:tabs>
        <w:spacing w:before="120"/>
        <w:rPr>
          <w:rFonts w:ascii="Calibri" w:hAnsi="Calibri"/>
        </w:rPr>
      </w:pPr>
      <w:r w:rsidRPr="00C32732">
        <w:rPr>
          <w:rFonts w:ascii="Calibri" w:hAnsi="Calibri"/>
        </w:rPr>
        <w:t xml:space="preserve">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w:t>
      </w:r>
    </w:p>
    <w:p w:rsidR="008207C0" w:rsidRPr="00C32732" w:rsidRDefault="008207C0" w:rsidP="00D15F86">
      <w:pPr>
        <w:spacing w:before="120"/>
        <w:rPr>
          <w:rFonts w:ascii="Calibri" w:hAnsi="Calibri"/>
        </w:rPr>
      </w:pPr>
      <w:r w:rsidRPr="00C32732">
        <w:rPr>
          <w:rFonts w:ascii="Calibri" w:hAnsi="Calibri"/>
        </w:rPr>
        <w:t xml:space="preserve">Spôsob informovania Prijímateľa o schválení resp. neschválení žiadosti o zmenu </w:t>
      </w:r>
      <w:r w:rsidR="00D15F86" w:rsidRPr="00C32732">
        <w:rPr>
          <w:rFonts w:ascii="Calibri" w:hAnsi="Calibri"/>
        </w:rPr>
        <w:t>projektu</w:t>
      </w:r>
      <w:r w:rsidRPr="00C32732">
        <w:rPr>
          <w:rFonts w:ascii="Calibri" w:hAnsi="Calibri"/>
        </w:rPr>
        <w:t xml:space="preserve"> </w:t>
      </w:r>
      <w:r w:rsidR="00F46C7A">
        <w:rPr>
          <w:rFonts w:ascii="Calibri" w:hAnsi="Calibri"/>
        </w:rPr>
        <w:br/>
      </w:r>
      <w:r w:rsidRPr="00C32732">
        <w:rPr>
          <w:rFonts w:ascii="Calibri" w:hAnsi="Calibri"/>
        </w:rPr>
        <w:t xml:space="preserve">je podrobnejšie definovaný v kapitole 4.5 Zmeny projektu v časti „Žiadosť o zmenu </w:t>
      </w:r>
      <w:r w:rsidR="00D15F86" w:rsidRPr="00C32732">
        <w:rPr>
          <w:rFonts w:ascii="Calibri" w:hAnsi="Calibri"/>
        </w:rPr>
        <w:t>projektu</w:t>
      </w:r>
      <w:r w:rsidRPr="00C32732">
        <w:rPr>
          <w:rFonts w:ascii="Calibri" w:hAnsi="Calibri"/>
        </w:rPr>
        <w:t xml:space="preserve">“. </w:t>
      </w:r>
    </w:p>
    <w:p w:rsidR="008207C0" w:rsidRPr="00DD586D" w:rsidRDefault="008207C0" w:rsidP="00BD61BD">
      <w:pPr>
        <w:pStyle w:val="Nadpis3"/>
        <w:rPr>
          <w:rFonts w:ascii="Calibri" w:hAnsi="Calibri"/>
          <w:color w:val="365F91"/>
        </w:rPr>
      </w:pPr>
      <w:bookmarkStart w:id="91" w:name="_Toc445989800"/>
      <w:r w:rsidRPr="00DD586D">
        <w:rPr>
          <w:rFonts w:ascii="Calibri" w:hAnsi="Calibri"/>
          <w:color w:val="365F91"/>
        </w:rPr>
        <w:t>4.5.2 Zmenové konanie z iniciatívy Poskytovateľa</w:t>
      </w:r>
      <w:bookmarkStart w:id="92" w:name="_Toc260303111"/>
      <w:bookmarkEnd w:id="92"/>
      <w:bookmarkEnd w:id="91"/>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93" w:name="_Toc445989801"/>
      <w:bookmarkStart w:id="94" w:name="_Toc406485330"/>
      <w:r w:rsidRPr="00DD586D">
        <w:rPr>
          <w:rFonts w:ascii="Calibri" w:hAnsi="Calibri"/>
          <w:i/>
          <w:color w:val="365F91"/>
        </w:rPr>
        <w:t>4.5.2.1 Zmena VZP</w:t>
      </w:r>
      <w:bookmarkEnd w:id="93"/>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95" w:name="_Toc445989802"/>
      <w:bookmarkEnd w:id="94"/>
      <w:r w:rsidRPr="00DD586D">
        <w:rPr>
          <w:rFonts w:ascii="Calibri" w:hAnsi="Calibri"/>
          <w:color w:val="365F91"/>
        </w:rPr>
        <w:t>4.6 Kontrola projektu</w:t>
      </w:r>
      <w:bookmarkEnd w:id="95"/>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00534A8F" w:rsidRPr="00EB2412">
        <w:rPr>
          <w:rFonts w:ascii="Calibri" w:hAnsi="Calibri"/>
        </w:rPr>
        <w:t>()</w:t>
      </w:r>
      <w:r w:rsidRPr="00B60809">
        <w:rPr>
          <w:rFonts w:ascii="Calibri" w:hAnsi="Calibri"/>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Jedná sa,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28"/>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29"/>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AC37CF" w:rsidRPr="00C32732" w:rsidRDefault="00AC37CF" w:rsidP="00EF2A45">
      <w:pPr>
        <w:pStyle w:val="Default"/>
        <w:spacing w:after="147"/>
        <w:jc w:val="both"/>
        <w:rPr>
          <w:rFonts w:ascii="Calibri" w:hAnsi="Calibri"/>
        </w:rPr>
      </w:pP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 xml:space="preserve">počas jeho realizácie, t.j. počas účinnosti Zmluvy/Rozhodnutia o schválení </w:t>
      </w:r>
      <w:proofErr w:type="spellStart"/>
      <w:r w:rsidR="001725AE" w:rsidRPr="00C32732">
        <w:rPr>
          <w:rFonts w:ascii="Calibri" w:hAnsi="Calibri"/>
        </w:rPr>
        <w:t>ŽoN</w:t>
      </w:r>
      <w:r w:rsidR="00E67237" w:rsidRPr="00C32732">
        <w:rPr>
          <w:rFonts w:ascii="Calibri" w:hAnsi="Calibri"/>
        </w:rPr>
        <w:t>F</w:t>
      </w:r>
      <w:r w:rsidR="001725AE" w:rsidRPr="00C32732">
        <w:rPr>
          <w:rFonts w:ascii="Calibri" w:hAnsi="Calibri"/>
        </w:rPr>
        <w:t>P</w:t>
      </w:r>
      <w:proofErr w:type="spellEnd"/>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8207C0" w:rsidRPr="00DD586D" w:rsidRDefault="008207C0" w:rsidP="00BD61BD">
      <w:pPr>
        <w:pStyle w:val="Nadpis3"/>
        <w:rPr>
          <w:rFonts w:ascii="Calibri" w:hAnsi="Calibri"/>
          <w:color w:val="365F91"/>
        </w:rPr>
      </w:pPr>
      <w:bookmarkStart w:id="96" w:name="_Toc445989803"/>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96"/>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 kontroly</w:t>
      </w:r>
      <w:r w:rsidRPr="00C32732">
        <w:rPr>
          <w:rFonts w:ascii="Calibri" w:hAnsi="Calibri"/>
        </w:rPr>
        <w:t xml:space="preserve"> </w:t>
      </w:r>
      <w:r w:rsidR="00F46C7A">
        <w:rPr>
          <w:rFonts w:ascii="Calibri" w:hAnsi="Calibri"/>
        </w:rPr>
        <w:br/>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97" w:name="_Toc445989804"/>
      <w:r w:rsidRPr="00DD586D">
        <w:rPr>
          <w:rFonts w:ascii="Calibri" w:hAnsi="Calibri"/>
          <w:i/>
          <w:color w:val="365F91"/>
        </w:rPr>
        <w:t>4.6.1.1 Kontrola verejného obstarávania</w:t>
      </w:r>
      <w:bookmarkEnd w:id="97"/>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Poskytovateľ kontroluje dodržiavanie pravidiel a princípov VO vyplývajúcich zo zmluvy o EÚ definovaných príslušnými právnymi aktmi EÚ a zo zákona č. 25/2006 Z. z. o verejnom obstarávaní o zmene a doplnení niektorých zákonov (ďalej len „zákon o verejnom obstarávaní“).</w:t>
      </w:r>
    </w:p>
    <w:p w:rsidR="008207C0" w:rsidRPr="00C32732" w:rsidRDefault="008207C0" w:rsidP="00942FB8">
      <w:pPr>
        <w:spacing w:before="120"/>
        <w:rPr>
          <w:rFonts w:ascii="Calibri" w:hAnsi="Calibri"/>
          <w:spacing w:val="-5"/>
        </w:rPr>
      </w:pPr>
      <w:r w:rsidRPr="00C32732">
        <w:rPr>
          <w:rFonts w:ascii="Calibri" w:hAnsi="Calibri"/>
          <w:spacing w:val="-5"/>
        </w:rPr>
        <w:t>Činnosťou Poskytovateľa nie je dotknutá výlučná a konečná zodpovednosť Prijímateľa ako verejného obstarávateľa, obstarávateľa alebo osoby podľa § 7 zákona o verejnom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 xml:space="preserve">Samotný výkon kontroly VO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98" w:name="_Toc445989805"/>
      <w:r w:rsidRPr="00DD586D">
        <w:rPr>
          <w:rFonts w:ascii="Calibri" w:hAnsi="Calibri"/>
          <w:i/>
          <w:color w:val="365F91"/>
        </w:rPr>
        <w:t>4.6.1.2 Kontrola žiadosti o platbu</w:t>
      </w:r>
      <w:bookmarkEnd w:id="98"/>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C32732" w:rsidRDefault="008207C0" w:rsidP="004436F5">
      <w:pPr>
        <w:rPr>
          <w:rFonts w:ascii="Calibri" w:hAnsi="Calibri"/>
        </w:rPr>
      </w:pPr>
    </w:p>
    <w:p w:rsidR="008207C0" w:rsidRPr="00DD586D" w:rsidRDefault="008207C0" w:rsidP="00BD61BD">
      <w:pPr>
        <w:pStyle w:val="Nadpis3"/>
        <w:rPr>
          <w:rFonts w:ascii="Calibri" w:hAnsi="Calibri"/>
          <w:color w:val="365F91"/>
        </w:rPr>
      </w:pPr>
      <w:bookmarkStart w:id="99" w:name="_Toc445989806"/>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99"/>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w:t>
      </w:r>
      <w:r w:rsidR="00F46C7A">
        <w:rPr>
          <w:rFonts w:ascii="Calibri" w:hAnsi="Calibri"/>
        </w:rPr>
        <w:br/>
      </w:r>
      <w:r w:rsidRPr="00C32732">
        <w:rPr>
          <w:rFonts w:ascii="Calibri" w:hAnsi="Calibri"/>
        </w:rPr>
        <w:t xml:space="preserve">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sa jedná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p>
    <w:p w:rsidR="0096015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p>
    <w:p w:rsidR="0096015C" w:rsidRPr="00C32732" w:rsidRDefault="0096015C" w:rsidP="0096015C">
      <w:pPr>
        <w:pStyle w:val="Default"/>
        <w:spacing w:before="120"/>
        <w:jc w:val="both"/>
        <w:rPr>
          <w:rFonts w:ascii="Calibri" w:hAnsi="Calibri"/>
          <w:color w:val="auto"/>
        </w:rPr>
      </w:pPr>
      <w:r w:rsidRPr="00C32732">
        <w:rPr>
          <w:rFonts w:ascii="Calibri" w:hAnsi="Calibri"/>
        </w:rPr>
        <w:t xml:space="preserve">Poskytovateľ zároveň vykoná </w:t>
      </w:r>
      <w:r w:rsidR="00E22036">
        <w:rPr>
          <w:rFonts w:ascii="Calibri" w:hAnsi="Calibri"/>
        </w:rPr>
        <w:t xml:space="preserve">finančnú </w:t>
      </w:r>
      <w:r w:rsidRPr="00C32732">
        <w:rPr>
          <w:rFonts w:ascii="Calibri" w:hAnsi="Calibri"/>
        </w:rPr>
        <w:t xml:space="preserve">kontrolu na mieste pri každej </w:t>
      </w:r>
      <w:proofErr w:type="spellStart"/>
      <w:r w:rsidRPr="00C32732">
        <w:rPr>
          <w:rFonts w:ascii="Calibri" w:hAnsi="Calibri"/>
        </w:rPr>
        <w:t>ŽoP</w:t>
      </w:r>
      <w:proofErr w:type="spellEnd"/>
      <w:r w:rsidRPr="00C32732">
        <w:rPr>
          <w:rFonts w:ascii="Calibri" w:hAnsi="Calibri"/>
        </w:rPr>
        <w:t xml:space="preserve">, v rámci ktorej </w:t>
      </w:r>
      <w:r w:rsidR="00F46C7A">
        <w:rPr>
          <w:rFonts w:ascii="Calibri" w:hAnsi="Calibri"/>
        </w:rPr>
        <w:br/>
      </w:r>
      <w:r w:rsidRPr="00C32732">
        <w:rPr>
          <w:rFonts w:ascii="Calibri" w:hAnsi="Calibri"/>
        </w:rPr>
        <w:t xml:space="preserve">sú deklarované a nárokované oprávnené výdavky, pri ktorých sa uplatňuje zjednodušené vykazovanie výdavkov a prijímateľ uchováva relevantnú podpornú </w:t>
      </w:r>
      <w:r w:rsidRPr="00C32732">
        <w:rPr>
          <w:rFonts w:ascii="Calibri" w:hAnsi="Calibri"/>
          <w:color w:val="auto"/>
        </w:rPr>
        <w:t xml:space="preserve">dokumentáciu, </w:t>
      </w:r>
      <w:r w:rsidR="00F46C7A">
        <w:rPr>
          <w:rFonts w:ascii="Calibri" w:hAnsi="Calibri"/>
          <w:color w:val="auto"/>
        </w:rPr>
        <w:br/>
      </w:r>
      <w:r w:rsidRPr="00C32732">
        <w:rPr>
          <w:rFonts w:ascii="Calibri" w:hAnsi="Calibri"/>
          <w:color w:val="auto"/>
        </w:rPr>
        <w:t>a to predovšetkým pri vykazovaní cestovných náhrad.</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8207C0" w:rsidRDefault="008207C0" w:rsidP="00CA0C8F">
      <w:pPr>
        <w:pStyle w:val="Default"/>
        <w:jc w:val="both"/>
        <w:rPr>
          <w:rFonts w:ascii="Calibri" w:hAnsi="Calibri"/>
        </w:rPr>
      </w:pPr>
    </w:p>
    <w:p w:rsidR="003374D3" w:rsidRPr="00EF4AA5" w:rsidRDefault="003374D3" w:rsidP="00EF4AA5"/>
    <w:p w:rsidR="00DD586D" w:rsidRPr="00DD586D" w:rsidRDefault="008207C0" w:rsidP="00DD586D">
      <w:pPr>
        <w:pStyle w:val="Nadpis2"/>
        <w:rPr>
          <w:rFonts w:ascii="Calibri" w:hAnsi="Calibri"/>
          <w:color w:val="365F91"/>
          <w:lang w:val="sk-SK"/>
        </w:rPr>
      </w:pPr>
      <w:bookmarkStart w:id="100" w:name="_Toc445989807"/>
      <w:r w:rsidRPr="00DD586D">
        <w:rPr>
          <w:rFonts w:ascii="Calibri" w:hAnsi="Calibri"/>
          <w:color w:val="365F91"/>
        </w:rPr>
        <w:t>4.7 Sankčný mechanizmus</w:t>
      </w:r>
      <w:bookmarkEnd w:id="100"/>
    </w:p>
    <w:p w:rsidR="008207C0" w:rsidRPr="00DD586D" w:rsidRDefault="008207C0" w:rsidP="00E06D5E">
      <w:pPr>
        <w:pStyle w:val="Nadpis3"/>
        <w:rPr>
          <w:rFonts w:ascii="Calibri" w:hAnsi="Calibri"/>
          <w:color w:val="365F91"/>
        </w:rPr>
      </w:pPr>
      <w:bookmarkStart w:id="101" w:name="_Toc445989808"/>
      <w:bookmarkStart w:id="102" w:name="_Toc412549463"/>
      <w:r w:rsidRPr="00DD586D">
        <w:rPr>
          <w:rFonts w:ascii="Calibri" w:hAnsi="Calibri"/>
          <w:color w:val="365F91"/>
        </w:rPr>
        <w:t>4.7.1 Sankčný mechanizmus k verejnému obstarávaniu</w:t>
      </w:r>
      <w:bookmarkEnd w:id="101"/>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Všetky verejné obstarávania (ďalej aj „VO“) na výber dodávateľa/poskytovateľa prác, tovarov a služieb bezprostredne súvisiacich s projektom musia byť realizované v súlade so zákonom č. 25/2006 Z. z. o verejnom obstarávaní a o zmene a doplnení niektorých zákonov v znení neskorších predpisov (ďalej len „zákon o VO“).</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0"/>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103" w:name="_Toc445989809"/>
      <w:r w:rsidRPr="00DD586D">
        <w:rPr>
          <w:rFonts w:ascii="Calibri" w:hAnsi="Calibri"/>
          <w:color w:val="365F91"/>
        </w:rPr>
        <w:t>4.7.4 Sankčný mechanizmus pri nenapĺňaní merateľných ukazovateľov</w:t>
      </w:r>
      <w:bookmarkEnd w:id="103"/>
      <w:r w:rsidRPr="00DD586D">
        <w:rPr>
          <w:rFonts w:ascii="Calibri" w:hAnsi="Calibri"/>
          <w:color w:val="365F91"/>
        </w:rPr>
        <w:t xml:space="preserve"> </w:t>
      </w:r>
    </w:p>
    <w:bookmarkEnd w:id="102"/>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zistený koeficient naplnenia ukazovateľa výsledku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zistí nenaplnenie merateľných ukazovateľov výsledku pri kontrole na mieste alebo na základe záverečnej monitorovacej správy, pričom koeficient naplnenia ukazovateľa výsledku je nižší ako 0,9</w:t>
      </w:r>
      <w:r w:rsidR="00065E59" w:rsidRPr="00C32732">
        <w:rPr>
          <w:rFonts w:ascii="Calibri" w:eastAsia="Times New Roman" w:hAnsi="Calibri"/>
          <w:lang w:eastAsia="en-GB"/>
        </w:rPr>
        <w:t>5</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 xml:space="preserve">by ohrozilo udržateľnosť výsledkov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1"/>
        <w:gridCol w:w="4589"/>
      </w:tblGrid>
      <w:tr w:rsidR="008207C0" w:rsidRPr="00C32732" w:rsidTr="002F08B4">
        <w:trPr>
          <w:trHeight w:val="560"/>
        </w:trPr>
        <w:tc>
          <w:tcPr>
            <w:tcW w:w="4591" w:type="dxa"/>
            <w:tcBorders>
              <w:top w:val="single" w:sz="4" w:space="0" w:color="000000"/>
              <w:left w:val="single" w:sz="4" w:space="0" w:color="000000"/>
              <w:bottom w:val="single" w:sz="4" w:space="0" w:color="000000"/>
              <w:right w:val="single" w:sz="4" w:space="0" w:color="000000"/>
            </w:tcBorders>
            <w:shd w:val="clear" w:color="auto" w:fill="F79646" w:themeFill="accent6"/>
          </w:tcPr>
          <w:p w:rsidR="008207C0" w:rsidRPr="00C32732" w:rsidRDefault="008207C0" w:rsidP="00011A90">
            <w:pPr>
              <w:jc w:val="center"/>
              <w:rPr>
                <w:rFonts w:ascii="Calibri" w:hAnsi="Calibri"/>
                <w:b/>
              </w:rPr>
            </w:pPr>
            <w:r w:rsidRPr="00C32732">
              <w:rPr>
                <w:rFonts w:ascii="Calibri" w:hAnsi="Calibri"/>
                <w:b/>
              </w:rPr>
              <w:t>Koeficient naplnenia</w:t>
            </w:r>
            <w:r w:rsidR="00181F01" w:rsidRPr="00C32732">
              <w:rPr>
                <w:rFonts w:ascii="Calibri" w:hAnsi="Calibri"/>
                <w:b/>
              </w:rPr>
              <w:t xml:space="preserve"> %</w:t>
            </w:r>
            <w:r w:rsidRPr="00C32732">
              <w:rPr>
                <w:rFonts w:ascii="Calibri" w:hAnsi="Calibri"/>
                <w:b/>
              </w:rPr>
              <w:t xml:space="preserve"> ukazovateľa výsledku</w:t>
            </w:r>
            <w:r w:rsidR="00181F01" w:rsidRPr="00C32732">
              <w:rPr>
                <w:rFonts w:ascii="Calibri" w:hAnsi="Calibri"/>
                <w:b/>
              </w:rPr>
              <w:t xml:space="preserve"> voči percentu čerpania COV</w:t>
            </w:r>
          </w:p>
        </w:tc>
        <w:tc>
          <w:tcPr>
            <w:tcW w:w="4589" w:type="dxa"/>
            <w:tcBorders>
              <w:top w:val="single" w:sz="4" w:space="0" w:color="000000"/>
              <w:left w:val="single" w:sz="4" w:space="0" w:color="000000"/>
              <w:bottom w:val="single" w:sz="4" w:space="0" w:color="000000"/>
              <w:right w:val="single" w:sz="4" w:space="0" w:color="000000"/>
            </w:tcBorders>
            <w:shd w:val="clear" w:color="auto" w:fill="F79646" w:themeFill="accent6"/>
          </w:tcPr>
          <w:p w:rsidR="008207C0" w:rsidRPr="00C32732" w:rsidRDefault="008207C0" w:rsidP="00011A90">
            <w:pPr>
              <w:jc w:val="center"/>
              <w:rPr>
                <w:rFonts w:ascii="Calibri" w:hAnsi="Calibri"/>
                <w:b/>
              </w:rPr>
            </w:pPr>
            <w:r w:rsidRPr="00C32732">
              <w:rPr>
                <w:rFonts w:ascii="Calibri" w:hAnsi="Calibri"/>
                <w:b/>
              </w:rPr>
              <w:t>Hodnota finančnej korekcie – výška krátenia NFP</w:t>
            </w:r>
          </w:p>
        </w:tc>
      </w:tr>
      <w:tr w:rsidR="008207C0" w:rsidRPr="00C32732" w:rsidTr="002F08B4">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RDefault="008207C0" w:rsidP="00011A90">
            <w:pPr>
              <w:jc w:val="center"/>
              <w:rPr>
                <w:rFonts w:ascii="Calibri" w:hAnsi="Calibri"/>
              </w:rPr>
            </w:pPr>
            <w:r w:rsidRPr="00C32732">
              <w:rPr>
                <w:rFonts w:ascii="Calibri" w:hAnsi="Calibri"/>
              </w:rPr>
              <w:t>od 1 do 0,95</w:t>
            </w:r>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RDefault="008207C0" w:rsidP="00011A90">
            <w:pPr>
              <w:rPr>
                <w:rFonts w:ascii="Calibri" w:hAnsi="Calibri"/>
              </w:rPr>
            </w:pPr>
            <w:r w:rsidRPr="00C32732">
              <w:rPr>
                <w:rFonts w:ascii="Calibri" w:hAnsi="Calibri"/>
              </w:rPr>
              <w:t>0 %</w:t>
            </w:r>
          </w:p>
        </w:tc>
      </w:tr>
      <w:tr w:rsidR="008207C0" w:rsidRPr="00C32732" w:rsidTr="002F08B4">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RDefault="008207C0" w:rsidP="001725AE">
            <w:pPr>
              <w:jc w:val="center"/>
              <w:rPr>
                <w:rFonts w:ascii="Calibri" w:hAnsi="Calibri"/>
              </w:rPr>
            </w:pPr>
            <w:r w:rsidRPr="00C32732">
              <w:rPr>
                <w:rFonts w:ascii="Calibri" w:hAnsi="Calibri"/>
              </w:rPr>
              <w:t>od 0,9</w:t>
            </w:r>
            <w:r w:rsidR="00065E59" w:rsidRPr="00C32732">
              <w:rPr>
                <w:rFonts w:ascii="Calibri" w:hAnsi="Calibri"/>
              </w:rPr>
              <w:t>5</w:t>
            </w:r>
            <w:r w:rsidRPr="00C32732">
              <w:rPr>
                <w:rFonts w:ascii="Calibri" w:hAnsi="Calibri"/>
              </w:rPr>
              <w:t xml:space="preserve"> do 0,</w:t>
            </w:r>
            <w:r w:rsidR="0094647E" w:rsidRPr="00C32732">
              <w:rPr>
                <w:rFonts w:ascii="Calibri" w:hAnsi="Calibri"/>
              </w:rPr>
              <w:t>8</w:t>
            </w:r>
            <w:r w:rsidRPr="00C32732">
              <w:rPr>
                <w:rFonts w:ascii="Calibri" w:hAnsi="Calibri"/>
              </w:rPr>
              <w:t>0</w:t>
            </w:r>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RDefault="008207C0" w:rsidP="00011A90">
            <w:pPr>
              <w:rPr>
                <w:rFonts w:ascii="Calibri" w:hAnsi="Calibri"/>
              </w:rPr>
            </w:pPr>
            <w:r w:rsidRPr="00C32732">
              <w:rPr>
                <w:rFonts w:ascii="Calibri" w:hAnsi="Calibri"/>
              </w:rPr>
              <w:t>2 %</w:t>
            </w:r>
          </w:p>
        </w:tc>
      </w:tr>
      <w:tr w:rsidR="008207C0" w:rsidRPr="00C32732" w:rsidTr="002F08B4">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RDefault="008207C0" w:rsidP="001725AE">
            <w:pPr>
              <w:jc w:val="center"/>
              <w:rPr>
                <w:rFonts w:ascii="Calibri" w:hAnsi="Calibri"/>
              </w:rPr>
            </w:pPr>
            <w:r w:rsidRPr="00C32732">
              <w:rPr>
                <w:rFonts w:ascii="Calibri" w:hAnsi="Calibri"/>
              </w:rPr>
              <w:t xml:space="preserve"> od 0,</w:t>
            </w:r>
            <w:r w:rsidR="0094647E" w:rsidRPr="00C32732">
              <w:rPr>
                <w:rFonts w:ascii="Calibri" w:hAnsi="Calibri"/>
              </w:rPr>
              <w:t>8</w:t>
            </w:r>
            <w:r w:rsidR="00065E59" w:rsidRPr="00C32732">
              <w:rPr>
                <w:rFonts w:ascii="Calibri" w:hAnsi="Calibri"/>
              </w:rPr>
              <w:t>0</w:t>
            </w:r>
            <w:r w:rsidRPr="00C32732">
              <w:rPr>
                <w:rFonts w:ascii="Calibri" w:hAnsi="Calibri"/>
              </w:rPr>
              <w:t xml:space="preserve"> do 0,</w:t>
            </w:r>
            <w:r w:rsidR="001725AE" w:rsidRPr="00C32732">
              <w:rPr>
                <w:rFonts w:ascii="Calibri" w:hAnsi="Calibri"/>
              </w:rPr>
              <w:t>50</w:t>
            </w:r>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RDefault="008207C0" w:rsidP="00011A90">
            <w:pPr>
              <w:rPr>
                <w:rFonts w:ascii="Calibri" w:hAnsi="Calibri"/>
              </w:rPr>
            </w:pPr>
            <w:r w:rsidRPr="00C32732">
              <w:rPr>
                <w:rFonts w:ascii="Calibri" w:hAnsi="Calibri"/>
              </w:rPr>
              <w:t>5 %</w:t>
            </w:r>
          </w:p>
        </w:tc>
      </w:tr>
      <w:tr w:rsidR="008207C0" w:rsidRPr="00C32732" w:rsidTr="002F08B4">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RDefault="008207C0" w:rsidP="001725AE">
            <w:pPr>
              <w:jc w:val="center"/>
              <w:rPr>
                <w:rFonts w:ascii="Calibri" w:hAnsi="Calibri"/>
              </w:rPr>
            </w:pPr>
            <w:r w:rsidRPr="00C32732">
              <w:rPr>
                <w:rFonts w:ascii="Calibri" w:hAnsi="Calibri"/>
              </w:rPr>
              <w:t xml:space="preserve"> od 0,</w:t>
            </w:r>
            <w:r w:rsidR="001725AE" w:rsidRPr="00C32732">
              <w:rPr>
                <w:rFonts w:ascii="Calibri" w:hAnsi="Calibri"/>
              </w:rPr>
              <w:t>50</w:t>
            </w:r>
            <w:r w:rsidRPr="00C32732">
              <w:rPr>
                <w:rFonts w:ascii="Calibri" w:hAnsi="Calibri"/>
              </w:rPr>
              <w:t xml:space="preserve"> do 0,</w:t>
            </w:r>
            <w:r w:rsidR="001725AE" w:rsidRPr="00C32732">
              <w:rPr>
                <w:rFonts w:ascii="Calibri" w:hAnsi="Calibri"/>
              </w:rPr>
              <w:t>30</w:t>
            </w:r>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RDefault="008207C0" w:rsidP="00011A90">
            <w:pPr>
              <w:rPr>
                <w:rFonts w:ascii="Calibri" w:hAnsi="Calibri"/>
              </w:rPr>
            </w:pPr>
            <w:r w:rsidRPr="00C32732">
              <w:rPr>
                <w:rFonts w:ascii="Calibri" w:hAnsi="Calibri"/>
              </w:rPr>
              <w:t>10 %</w:t>
            </w:r>
          </w:p>
        </w:tc>
      </w:tr>
      <w:tr w:rsidR="008207C0" w:rsidRPr="00C32732" w:rsidTr="002F08B4">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D734B2" w:rsidRDefault="008207C0" w:rsidP="00065E59">
            <w:pPr>
              <w:jc w:val="center"/>
              <w:rPr>
                <w:rFonts w:ascii="Calibri" w:hAnsi="Calibri"/>
              </w:rPr>
            </w:pPr>
            <w:r w:rsidRPr="00C32732">
              <w:rPr>
                <w:rFonts w:ascii="Calibri" w:hAnsi="Calibri"/>
              </w:rPr>
              <w:t>od 0,</w:t>
            </w:r>
            <w:r w:rsidR="00065E59" w:rsidRPr="00C32732">
              <w:rPr>
                <w:rFonts w:ascii="Calibri" w:hAnsi="Calibri"/>
              </w:rPr>
              <w:t>30</w:t>
            </w:r>
            <w:r w:rsidRPr="00C32732">
              <w:rPr>
                <w:rFonts w:ascii="Calibri" w:hAnsi="Calibri"/>
              </w:rPr>
              <w:t xml:space="preserve"> do 0</w:t>
            </w:r>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723A01" w:rsidRDefault="008207C0" w:rsidP="00011A90">
            <w:pPr>
              <w:rPr>
                <w:rFonts w:ascii="Calibri" w:hAnsi="Calibri"/>
              </w:rPr>
            </w:pPr>
            <w:r w:rsidRPr="00C32732">
              <w:rPr>
                <w:rFonts w:ascii="Calibri" w:hAnsi="Calibri"/>
              </w:rPr>
              <w:t>odstúpenie od Zmluvy</w:t>
            </w:r>
          </w:p>
        </w:tc>
      </w:tr>
    </w:tbl>
    <w:p w:rsidR="008207C0" w:rsidRPr="00C32732" w:rsidRDefault="008207C0" w:rsidP="001725AE">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Koeficient naplnenia ukazovateľa výsledku predstavuje pomer percentuálneho naplnenia merateľného ukazovateľa výsledku k percentu vyčerpaných celkových oprávnených výdavkov (ďalej len „COV“) </w:t>
      </w:r>
      <w:proofErr w:type="spellStart"/>
      <w:r w:rsidRPr="00C32732">
        <w:rPr>
          <w:rFonts w:ascii="Calibri" w:eastAsia="Times New Roman" w:hAnsi="Calibri"/>
          <w:lang w:eastAsia="en-GB"/>
        </w:rPr>
        <w:t>vysúťažených</w:t>
      </w:r>
      <w:proofErr w:type="spellEnd"/>
      <w:r w:rsidRPr="00C32732">
        <w:rPr>
          <w:rFonts w:ascii="Calibri" w:eastAsia="Times New Roman" w:hAnsi="Calibri"/>
          <w:lang w:eastAsia="en-GB"/>
        </w:rPr>
        <w:t xml:space="preserve"> z verejného obstarávania (ďalej len „VO“) zaokrúhlený na dve desatinné miesta.</w:t>
      </w:r>
    </w:p>
    <w:p w:rsidR="008207C0" w:rsidRPr="00C32732" w:rsidRDefault="008207C0" w:rsidP="001725AE">
      <w:pPr>
        <w:pStyle w:val="Zkladntext"/>
        <w:spacing w:before="120"/>
        <w:rPr>
          <w:rFonts w:ascii="Calibri" w:eastAsia="Times New Roman" w:hAnsi="Calibri"/>
          <w:color w:val="FF0000"/>
          <w:lang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aritmetický priemer percentuálnych hodnôt prislúchajúcich jednotlivým relevantným merateľným ukazovateľom výsledku. Pri výpočte </w:t>
      </w:r>
      <w:r w:rsidR="00181F01" w:rsidRPr="00C32732">
        <w:rPr>
          <w:rFonts w:ascii="Calibri" w:eastAsia="Times New Roman" w:hAnsi="Calibri"/>
          <w:lang w:val="sk-SK"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 xml:space="preserve">zohľadní ukazovatele výsledku Projektu, pri ktorých bola prekročená pôvodne plánovaná hodnota, len do výšky 100 %. </w:t>
      </w:r>
    </w:p>
    <w:p w:rsidR="008207C0" w:rsidRPr="00C32732" w:rsidRDefault="00181F01" w:rsidP="00EB2412">
      <w:p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Pr>
          <w:rFonts w:ascii="ITCBookmanEE" w:hAnsi="ITCBookmanEE" w:cs="ITCBookmanEE"/>
          <w:color w:val="231F20"/>
          <w:sz w:val="19"/>
          <w:szCs w:val="19"/>
          <w:lang w:eastAsia="sk-SK"/>
        </w:rPr>
        <w:t>a.</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04" w:name="_Toc445989810"/>
      <w:r w:rsidRPr="006110F5">
        <w:rPr>
          <w:rFonts w:ascii="Calibri" w:hAnsi="Calibri"/>
          <w:color w:val="365F91"/>
        </w:rPr>
        <w:t xml:space="preserve">4.8 </w:t>
      </w:r>
      <w:bookmarkStart w:id="105" w:name="_Toc406485337"/>
      <w:r w:rsidRPr="006110F5">
        <w:rPr>
          <w:rFonts w:ascii="Calibri" w:hAnsi="Calibri"/>
          <w:color w:val="365F91"/>
        </w:rPr>
        <w:t>Ukončenie realizácie projektu</w:t>
      </w:r>
      <w:bookmarkEnd w:id="105"/>
      <w:bookmarkEnd w:id="104"/>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06" w:name="_Toc445989811"/>
      <w:r w:rsidRPr="006110F5">
        <w:rPr>
          <w:rFonts w:ascii="Calibri" w:hAnsi="Calibri"/>
          <w:color w:val="365F91"/>
        </w:rPr>
        <w:t>4.9  Najčastejšie chyby v priebehu implementácie projektov</w:t>
      </w:r>
      <w:bookmarkEnd w:id="106"/>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8207C0" w:rsidRPr="00C32732" w:rsidRDefault="008207C0" w:rsidP="0057038A">
      <w:pPr>
        <w:pStyle w:val="Nadpis1"/>
        <w:spacing w:before="0"/>
        <w:ind w:left="851" w:hanging="425"/>
        <w:rPr>
          <w:rFonts w:ascii="Calibri" w:hAnsi="Calibri"/>
        </w:rPr>
      </w:pPr>
      <w:bookmarkStart w:id="107" w:name="_Toc260303070"/>
      <w:bookmarkStart w:id="108" w:name="_Toc260303071"/>
      <w:bookmarkStart w:id="109" w:name="_Toc260303072"/>
      <w:bookmarkStart w:id="110" w:name="_Toc445989812"/>
      <w:bookmarkEnd w:id="107"/>
      <w:bookmarkEnd w:id="108"/>
      <w:bookmarkEnd w:id="109"/>
      <w:r w:rsidRPr="00C32732">
        <w:rPr>
          <w:rFonts w:ascii="Calibri" w:hAnsi="Calibri"/>
        </w:rPr>
        <w:t>5. Informovanie a komunikácia</w:t>
      </w:r>
      <w:bookmarkEnd w:id="110"/>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 xml:space="preserve">na webovom sídle Poskytovateľa </w:t>
      </w:r>
      <w:r w:rsidR="00F46C7A">
        <w:rPr>
          <w:rFonts w:ascii="Calibri" w:hAnsi="Calibri"/>
        </w:rPr>
        <w:br/>
      </w:r>
      <w:r w:rsidR="004B737B">
        <w:rPr>
          <w:rFonts w:ascii="Calibri" w:hAnsi="Calibri"/>
        </w:rPr>
        <w:t xml:space="preserve">a na stránke </w:t>
      </w:r>
      <w:proofErr w:type="spellStart"/>
      <w:r w:rsidR="004B737B">
        <w:rPr>
          <w:rFonts w:ascii="Calibri" w:hAnsi="Calibri"/>
        </w:rPr>
        <w:t>www.partnerskadohoda.gov.sk</w:t>
      </w:r>
      <w:proofErr w:type="spellEnd"/>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8207C0" w:rsidRPr="00C32732" w:rsidRDefault="008207C0" w:rsidP="0057038A">
      <w:pPr>
        <w:pStyle w:val="Nadpis1"/>
        <w:spacing w:before="0"/>
        <w:ind w:left="709" w:hanging="283"/>
        <w:rPr>
          <w:rFonts w:ascii="Calibri" w:hAnsi="Calibri"/>
        </w:rPr>
      </w:pPr>
      <w:bookmarkStart w:id="111" w:name="_Toc445989813"/>
      <w:r w:rsidRPr="00C32732">
        <w:rPr>
          <w:rFonts w:ascii="Calibri" w:hAnsi="Calibri"/>
        </w:rPr>
        <w:t>6. ITMS</w:t>
      </w:r>
      <w:bookmarkEnd w:id="111"/>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5"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8207C0" w:rsidRPr="00C32732" w:rsidRDefault="008207C0" w:rsidP="0057038A">
      <w:pPr>
        <w:pStyle w:val="Nadpis1"/>
        <w:spacing w:before="120"/>
        <w:ind w:left="750" w:hanging="324"/>
        <w:rPr>
          <w:rFonts w:ascii="Calibri" w:hAnsi="Calibri"/>
        </w:rPr>
      </w:pPr>
      <w:bookmarkStart w:id="112" w:name="_Toc445989814"/>
      <w:r w:rsidRPr="00C32732">
        <w:rPr>
          <w:rFonts w:ascii="Calibri" w:hAnsi="Calibri"/>
        </w:rPr>
        <w:t>7. Uchovávanie dokumentácie</w:t>
      </w:r>
      <w:bookmarkEnd w:id="112"/>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ŽoP,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13" w:name="_Toc445989815"/>
      <w:r w:rsidRPr="00C32732">
        <w:rPr>
          <w:rFonts w:ascii="Calibri" w:hAnsi="Calibri"/>
        </w:rPr>
        <w:t>8. Zoznam príloh</w:t>
      </w:r>
      <w:bookmarkEnd w:id="113"/>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Súhrnný pracovný list</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6110F5">
        <w:rPr>
          <w:rFonts w:ascii="Calibri" w:hAnsi="Calibri"/>
          <w:bCs/>
          <w:lang w:eastAsia="sk-SK"/>
        </w:rPr>
        <w:t> </w:t>
      </w:r>
      <w:r w:rsidR="00EC0660" w:rsidRPr="00C32732">
        <w:rPr>
          <w:rFonts w:ascii="Calibri" w:hAnsi="Calibri"/>
          <w:bCs/>
          <w:lang w:eastAsia="sk-SK"/>
        </w:rPr>
        <w:t>ŽoP</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Žiadosť o povolenie vykonania zmeny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B176EA" w:rsidRPr="00C32732">
        <w:rPr>
          <w:rFonts w:ascii="Calibri" w:hAnsi="Calibri"/>
          <w:lang w:eastAsia="sk-SK"/>
        </w:rPr>
        <w:t> </w:t>
      </w:r>
      <w:r w:rsidRPr="00C32732">
        <w:rPr>
          <w:rFonts w:ascii="Calibri" w:hAnsi="Calibri"/>
          <w:lang w:eastAsia="sk-SK"/>
        </w:rPr>
        <w:t>zmene</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 platbu</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 rokovania</w:t>
      </w:r>
    </w:p>
    <w:p w:rsidR="002377D7" w:rsidRP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sectPr w:rsidR="002377D7" w:rsidRPr="002377D7" w:rsidSect="003027C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216" w:rsidRDefault="00F11216" w:rsidP="00CA288C">
      <w:r>
        <w:separator/>
      </w:r>
    </w:p>
  </w:endnote>
  <w:endnote w:type="continuationSeparator" w:id="0">
    <w:p w:rsidR="00F11216" w:rsidRDefault="00F11216"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216" w:rsidRDefault="00F11216" w:rsidP="00CA288C">
      <w:r>
        <w:separator/>
      </w:r>
    </w:p>
  </w:footnote>
  <w:footnote w:type="continuationSeparator" w:id="0">
    <w:p w:rsidR="00F11216" w:rsidRDefault="00F11216" w:rsidP="00CA288C">
      <w:r>
        <w:continuationSeparator/>
      </w:r>
    </w:p>
  </w:footnote>
  <w:footnote w:id="1">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F11216" w:rsidRPr="00EB2412"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F11216" w:rsidRPr="00F80816" w:rsidRDefault="00F11216"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6">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7">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8">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9">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0">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1">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2">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3">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4">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7">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8">
    <w:p w:rsidR="00F11216" w:rsidRDefault="00F11216" w:rsidP="00AC37CF">
      <w:pPr>
        <w:pStyle w:val="Textpoznmkypodiarou"/>
      </w:pPr>
      <w:r>
        <w:rPr>
          <w:rStyle w:val="Odkaznapoznmkupodiarou"/>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19">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7a a 7b platného Systému finančného riadenia</w:t>
      </w:r>
    </w:p>
  </w:footnote>
  <w:footnote w:id="20">
    <w:p w:rsidR="00F11216" w:rsidRPr="00F80816" w:rsidRDefault="00F11216"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1">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Nevyhnutnosť predkladania listinnej podoby schválenej žiadosti o vrátenie finančných prostriedkov Prijímateľovi bude závislá od podmienok evidencie dokladov vysporiadania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2">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3">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4">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 – najneskôr do 31.12.2015</w:t>
      </w:r>
    </w:p>
  </w:footnote>
  <w:footnote w:id="25">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6">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27">
    <w:p w:rsidR="00F11216" w:rsidRPr="00F80816" w:rsidRDefault="00F11216"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28">
    <w:p w:rsidR="00F11216" w:rsidRPr="00EF4AA5" w:rsidRDefault="00F11216"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29">
    <w:p w:rsidR="00F11216" w:rsidRPr="00EF4AA5" w:rsidRDefault="00F11216"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0">
    <w:p w:rsidR="00F11216" w:rsidRPr="00F80816" w:rsidRDefault="00F11216"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4">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5">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6">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7">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9">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3">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0">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3">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4">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5">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8">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1">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2">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4">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8">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9">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3">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7">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9">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2">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3">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5">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6">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7">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1">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2">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4">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5">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6">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8">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79">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2">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3">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5">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6">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8">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89">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2">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4">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5">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96">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9">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2">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3">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4">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05">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6">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07">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9">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1">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4">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5">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2"/>
  </w:num>
  <w:num w:numId="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0"/>
  </w:num>
  <w:num w:numId="8">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70"/>
  </w:num>
  <w:num w:numId="13">
    <w:abstractNumId w:val="16"/>
  </w:num>
  <w:num w:numId="14">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5"/>
  </w:num>
  <w:num w:numId="16">
    <w:abstractNumId w:val="19"/>
  </w:num>
  <w:num w:numId="1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7"/>
  </w:num>
  <w:num w:numId="21">
    <w:abstractNumId w:val="99"/>
  </w:num>
  <w:num w:numId="22">
    <w:abstractNumId w:val="1"/>
  </w:num>
  <w:num w:numId="23">
    <w:abstractNumId w:val="0"/>
  </w:num>
  <w:num w:numId="24">
    <w:abstractNumId w:val="27"/>
    <w:lvlOverride w:ilvl="0">
      <w:startOverride w:val="1"/>
    </w:lvlOverride>
    <w:lvlOverride w:ilvl="1"/>
    <w:lvlOverride w:ilvl="2"/>
    <w:lvlOverride w:ilvl="3"/>
    <w:lvlOverride w:ilvl="4"/>
    <w:lvlOverride w:ilvl="5"/>
    <w:lvlOverride w:ilvl="6"/>
    <w:lvlOverride w:ilvl="7"/>
    <w:lvlOverride w:ilvl="8"/>
  </w:num>
  <w:num w:numId="25">
    <w:abstractNumId w:val="62"/>
  </w:num>
  <w:num w:numId="2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3"/>
  </w:num>
  <w:num w:numId="28">
    <w:abstractNumId w:val="106"/>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5"/>
  </w:num>
  <w:num w:numId="34">
    <w:abstractNumId w:val="52"/>
  </w:num>
  <w:num w:numId="35">
    <w:abstractNumId w:val="2"/>
  </w:num>
  <w:num w:numId="36">
    <w:abstractNumId w:val="113"/>
  </w:num>
  <w:num w:numId="37">
    <w:abstractNumId w:val="104"/>
  </w:num>
  <w:num w:numId="38">
    <w:abstractNumId w:val="95"/>
  </w:num>
  <w:num w:numId="39">
    <w:abstractNumId w:val="11"/>
  </w:num>
  <w:num w:numId="40">
    <w:abstractNumId w:val="108"/>
  </w:num>
  <w:num w:numId="41">
    <w:abstractNumId w:val="94"/>
  </w:num>
  <w:num w:numId="42">
    <w:abstractNumId w:val="37"/>
  </w:num>
  <w:num w:numId="43">
    <w:abstractNumId w:val="81"/>
  </w:num>
  <w:num w:numId="44">
    <w:abstractNumId w:val="84"/>
  </w:num>
  <w:num w:numId="45">
    <w:abstractNumId w:val="39"/>
  </w:num>
  <w:num w:numId="46">
    <w:abstractNumId w:val="115"/>
  </w:num>
  <w:num w:numId="47">
    <w:abstractNumId w:val="36"/>
  </w:num>
  <w:num w:numId="48">
    <w:abstractNumId w:val="93"/>
  </w:num>
  <w:num w:numId="49">
    <w:abstractNumId w:val="58"/>
  </w:num>
  <w:num w:numId="50">
    <w:abstractNumId w:val="77"/>
  </w:num>
  <w:num w:numId="51">
    <w:abstractNumId w:val="43"/>
  </w:num>
  <w:num w:numId="52">
    <w:abstractNumId w:val="82"/>
  </w:num>
  <w:num w:numId="53">
    <w:abstractNumId w:val="49"/>
  </w:num>
  <w:num w:numId="54">
    <w:abstractNumId w:val="24"/>
  </w:num>
  <w:num w:numId="55">
    <w:abstractNumId w:val="101"/>
  </w:num>
  <w:num w:numId="56">
    <w:abstractNumId w:val="89"/>
  </w:num>
  <w:num w:numId="57">
    <w:abstractNumId w:val="8"/>
  </w:num>
  <w:num w:numId="58">
    <w:abstractNumId w:val="73"/>
  </w:num>
  <w:num w:numId="59">
    <w:abstractNumId w:val="41"/>
  </w:num>
  <w:num w:numId="60">
    <w:abstractNumId w:val="21"/>
  </w:num>
  <w:num w:numId="61">
    <w:abstractNumId w:val="90"/>
  </w:num>
  <w:num w:numId="62">
    <w:abstractNumId w:val="9"/>
  </w:num>
  <w:num w:numId="63">
    <w:abstractNumId w:val="50"/>
  </w:num>
  <w:num w:numId="64">
    <w:abstractNumId w:val="28"/>
  </w:num>
  <w:num w:numId="65">
    <w:abstractNumId w:val="13"/>
  </w:num>
  <w:num w:numId="66">
    <w:abstractNumId w:val="74"/>
  </w:num>
  <w:num w:numId="67">
    <w:abstractNumId w:val="18"/>
  </w:num>
  <w:num w:numId="68">
    <w:abstractNumId w:val="65"/>
  </w:num>
  <w:num w:numId="69">
    <w:abstractNumId w:val="44"/>
  </w:num>
  <w:num w:numId="70">
    <w:abstractNumId w:val="17"/>
  </w:num>
  <w:num w:numId="71">
    <w:abstractNumId w:val="7"/>
  </w:num>
  <w:num w:numId="72">
    <w:abstractNumId w:val="97"/>
  </w:num>
  <w:num w:numId="73">
    <w:abstractNumId w:val="31"/>
  </w:num>
  <w:num w:numId="74">
    <w:abstractNumId w:val="59"/>
  </w:num>
  <w:num w:numId="75">
    <w:abstractNumId w:val="25"/>
  </w:num>
  <w:num w:numId="76">
    <w:abstractNumId w:val="42"/>
  </w:num>
  <w:num w:numId="77">
    <w:abstractNumId w:val="111"/>
  </w:num>
  <w:num w:numId="78">
    <w:abstractNumId w:val="79"/>
  </w:num>
  <w:num w:numId="79">
    <w:abstractNumId w:val="45"/>
  </w:num>
  <w:num w:numId="80">
    <w:abstractNumId w:val="87"/>
  </w:num>
  <w:num w:numId="81">
    <w:abstractNumId w:val="61"/>
  </w:num>
  <w:num w:numId="82">
    <w:abstractNumId w:val="14"/>
  </w:num>
  <w:num w:numId="83">
    <w:abstractNumId w:val="26"/>
  </w:num>
  <w:num w:numId="84">
    <w:abstractNumId w:val="32"/>
  </w:num>
  <w:num w:numId="85">
    <w:abstractNumId w:val="23"/>
  </w:num>
  <w:num w:numId="86">
    <w:abstractNumId w:val="75"/>
  </w:num>
  <w:num w:numId="87">
    <w:abstractNumId w:val="96"/>
  </w:num>
  <w:num w:numId="88">
    <w:abstractNumId w:val="35"/>
  </w:num>
  <w:num w:numId="89">
    <w:abstractNumId w:val="71"/>
  </w:num>
  <w:num w:numId="90">
    <w:abstractNumId w:val="3"/>
  </w:num>
  <w:num w:numId="91">
    <w:abstractNumId w:val="33"/>
  </w:num>
  <w:num w:numId="92">
    <w:abstractNumId w:val="98"/>
  </w:num>
  <w:num w:numId="93">
    <w:abstractNumId w:val="46"/>
  </w:num>
  <w:num w:numId="94">
    <w:abstractNumId w:val="107"/>
  </w:num>
  <w:num w:numId="95">
    <w:abstractNumId w:val="4"/>
  </w:num>
  <w:num w:numId="96">
    <w:abstractNumId w:val="109"/>
  </w:num>
  <w:num w:numId="97">
    <w:abstractNumId w:val="5"/>
  </w:num>
  <w:num w:numId="98">
    <w:abstractNumId w:val="54"/>
  </w:num>
  <w:num w:numId="99">
    <w:abstractNumId w:val="105"/>
  </w:num>
  <w:num w:numId="100">
    <w:abstractNumId w:val="10"/>
  </w:num>
  <w:num w:numId="101">
    <w:abstractNumId w:val="47"/>
  </w:num>
  <w:num w:numId="102">
    <w:abstractNumId w:val="20"/>
  </w:num>
  <w:num w:numId="103">
    <w:abstractNumId w:val="29"/>
  </w:num>
  <w:num w:numId="104">
    <w:abstractNumId w:val="88"/>
  </w:num>
  <w:num w:numId="105">
    <w:abstractNumId w:val="60"/>
  </w:num>
  <w:num w:numId="106">
    <w:abstractNumId w:val="101"/>
  </w:num>
  <w:num w:numId="107">
    <w:abstractNumId w:val="55"/>
  </w:num>
  <w:num w:numId="108">
    <w:abstractNumId w:val="12"/>
  </w:num>
  <w:num w:numId="109">
    <w:abstractNumId w:val="57"/>
  </w:num>
  <w:num w:numId="110">
    <w:abstractNumId w:val="51"/>
  </w:num>
  <w:num w:numId="111">
    <w:abstractNumId w:val="72"/>
  </w:num>
  <w:num w:numId="112">
    <w:abstractNumId w:val="112"/>
  </w:num>
  <w:num w:numId="113">
    <w:abstractNumId w:val="100"/>
  </w:num>
  <w:num w:numId="114">
    <w:abstractNumId w:val="86"/>
  </w:num>
  <w:num w:numId="115">
    <w:abstractNumId w:val="92"/>
  </w:num>
  <w:num w:numId="116">
    <w:abstractNumId w:val="66"/>
  </w:num>
  <w:num w:numId="117">
    <w:abstractNumId w:val="34"/>
  </w:num>
  <w:num w:numId="118">
    <w:abstractNumId w:val="63"/>
  </w:num>
  <w:num w:numId="119">
    <w:abstractNumId w:val="3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807"/>
    <w:rsid w:val="00023485"/>
    <w:rsid w:val="00023783"/>
    <w:rsid w:val="00023BDB"/>
    <w:rsid w:val="00024076"/>
    <w:rsid w:val="0002448C"/>
    <w:rsid w:val="000257FF"/>
    <w:rsid w:val="000263DD"/>
    <w:rsid w:val="000270B1"/>
    <w:rsid w:val="00027176"/>
    <w:rsid w:val="000317FE"/>
    <w:rsid w:val="00032F89"/>
    <w:rsid w:val="00033357"/>
    <w:rsid w:val="00033EA7"/>
    <w:rsid w:val="00035FD0"/>
    <w:rsid w:val="00036619"/>
    <w:rsid w:val="0003679D"/>
    <w:rsid w:val="00037DB8"/>
    <w:rsid w:val="00042D02"/>
    <w:rsid w:val="00042E35"/>
    <w:rsid w:val="0004307F"/>
    <w:rsid w:val="000438C5"/>
    <w:rsid w:val="0004446A"/>
    <w:rsid w:val="00044497"/>
    <w:rsid w:val="00050E2D"/>
    <w:rsid w:val="00051456"/>
    <w:rsid w:val="0005282F"/>
    <w:rsid w:val="000532FE"/>
    <w:rsid w:val="00053BD7"/>
    <w:rsid w:val="00054229"/>
    <w:rsid w:val="000554F7"/>
    <w:rsid w:val="00055BE3"/>
    <w:rsid w:val="00057FE5"/>
    <w:rsid w:val="00065E59"/>
    <w:rsid w:val="00066C7E"/>
    <w:rsid w:val="00070ECB"/>
    <w:rsid w:val="00071518"/>
    <w:rsid w:val="00073B75"/>
    <w:rsid w:val="00073F7A"/>
    <w:rsid w:val="0007448F"/>
    <w:rsid w:val="00075156"/>
    <w:rsid w:val="00076011"/>
    <w:rsid w:val="0007666D"/>
    <w:rsid w:val="0008174E"/>
    <w:rsid w:val="00084A3C"/>
    <w:rsid w:val="000851F8"/>
    <w:rsid w:val="00086D31"/>
    <w:rsid w:val="0008796F"/>
    <w:rsid w:val="0009028D"/>
    <w:rsid w:val="000949D4"/>
    <w:rsid w:val="000A0BE6"/>
    <w:rsid w:val="000A1085"/>
    <w:rsid w:val="000A2881"/>
    <w:rsid w:val="000A3B2E"/>
    <w:rsid w:val="000A4D4B"/>
    <w:rsid w:val="000A6CE7"/>
    <w:rsid w:val="000A7BD2"/>
    <w:rsid w:val="000A7CE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6"/>
    <w:rsid w:val="001045DB"/>
    <w:rsid w:val="00105B22"/>
    <w:rsid w:val="001075B4"/>
    <w:rsid w:val="00107C6F"/>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33F1"/>
    <w:rsid w:val="00173E58"/>
    <w:rsid w:val="00174B33"/>
    <w:rsid w:val="0017586F"/>
    <w:rsid w:val="001768E1"/>
    <w:rsid w:val="00177018"/>
    <w:rsid w:val="00181300"/>
    <w:rsid w:val="001814D9"/>
    <w:rsid w:val="00181B24"/>
    <w:rsid w:val="00181F01"/>
    <w:rsid w:val="00184A32"/>
    <w:rsid w:val="00184F12"/>
    <w:rsid w:val="0018701A"/>
    <w:rsid w:val="001871B5"/>
    <w:rsid w:val="00187F70"/>
    <w:rsid w:val="00190B90"/>
    <w:rsid w:val="001911E5"/>
    <w:rsid w:val="00194B07"/>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7672"/>
    <w:rsid w:val="0021044E"/>
    <w:rsid w:val="002115AB"/>
    <w:rsid w:val="00212219"/>
    <w:rsid w:val="002132F6"/>
    <w:rsid w:val="00214467"/>
    <w:rsid w:val="00214D39"/>
    <w:rsid w:val="00217386"/>
    <w:rsid w:val="00217E76"/>
    <w:rsid w:val="00222E14"/>
    <w:rsid w:val="002257D6"/>
    <w:rsid w:val="002266C6"/>
    <w:rsid w:val="00227E00"/>
    <w:rsid w:val="00231503"/>
    <w:rsid w:val="00231C1A"/>
    <w:rsid w:val="00233193"/>
    <w:rsid w:val="0023424D"/>
    <w:rsid w:val="00235088"/>
    <w:rsid w:val="002377D7"/>
    <w:rsid w:val="00240B8F"/>
    <w:rsid w:val="00246019"/>
    <w:rsid w:val="00246F88"/>
    <w:rsid w:val="00247A3A"/>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987"/>
    <w:rsid w:val="002E2C94"/>
    <w:rsid w:val="002E2F51"/>
    <w:rsid w:val="002E357E"/>
    <w:rsid w:val="002E4297"/>
    <w:rsid w:val="002E53E9"/>
    <w:rsid w:val="002E6380"/>
    <w:rsid w:val="002E667E"/>
    <w:rsid w:val="002E66CC"/>
    <w:rsid w:val="002F03C2"/>
    <w:rsid w:val="002F08B4"/>
    <w:rsid w:val="002F191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8CC"/>
    <w:rsid w:val="003221F1"/>
    <w:rsid w:val="00323B30"/>
    <w:rsid w:val="00327427"/>
    <w:rsid w:val="00330C64"/>
    <w:rsid w:val="00330D47"/>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3184"/>
    <w:rsid w:val="00383D97"/>
    <w:rsid w:val="0038676B"/>
    <w:rsid w:val="00387A86"/>
    <w:rsid w:val="003906C3"/>
    <w:rsid w:val="00392998"/>
    <w:rsid w:val="00394278"/>
    <w:rsid w:val="00397A89"/>
    <w:rsid w:val="003A0859"/>
    <w:rsid w:val="003A2623"/>
    <w:rsid w:val="003A3A81"/>
    <w:rsid w:val="003A4F51"/>
    <w:rsid w:val="003A5318"/>
    <w:rsid w:val="003A59D2"/>
    <w:rsid w:val="003A6C4D"/>
    <w:rsid w:val="003B344E"/>
    <w:rsid w:val="003B4742"/>
    <w:rsid w:val="003B4F9E"/>
    <w:rsid w:val="003C15A3"/>
    <w:rsid w:val="003C35B8"/>
    <w:rsid w:val="003C6C75"/>
    <w:rsid w:val="003C7498"/>
    <w:rsid w:val="003C79BC"/>
    <w:rsid w:val="003C7E72"/>
    <w:rsid w:val="003D0311"/>
    <w:rsid w:val="003D03E1"/>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C8D"/>
    <w:rsid w:val="00424EF4"/>
    <w:rsid w:val="00425142"/>
    <w:rsid w:val="00425B3F"/>
    <w:rsid w:val="00425D9F"/>
    <w:rsid w:val="00426509"/>
    <w:rsid w:val="00430E68"/>
    <w:rsid w:val="00433232"/>
    <w:rsid w:val="00433D48"/>
    <w:rsid w:val="00434E0C"/>
    <w:rsid w:val="0043564A"/>
    <w:rsid w:val="00436AB8"/>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6F59"/>
    <w:rsid w:val="00500B47"/>
    <w:rsid w:val="00500D5D"/>
    <w:rsid w:val="005025D5"/>
    <w:rsid w:val="00503691"/>
    <w:rsid w:val="00505C3F"/>
    <w:rsid w:val="00513760"/>
    <w:rsid w:val="005143CC"/>
    <w:rsid w:val="00515E61"/>
    <w:rsid w:val="00516FC9"/>
    <w:rsid w:val="00517B26"/>
    <w:rsid w:val="005214CB"/>
    <w:rsid w:val="005225A1"/>
    <w:rsid w:val="0052592D"/>
    <w:rsid w:val="00525C77"/>
    <w:rsid w:val="00531657"/>
    <w:rsid w:val="0053204B"/>
    <w:rsid w:val="005342BE"/>
    <w:rsid w:val="00534A8F"/>
    <w:rsid w:val="005357D2"/>
    <w:rsid w:val="00535E10"/>
    <w:rsid w:val="00535F7F"/>
    <w:rsid w:val="00536BA6"/>
    <w:rsid w:val="00537561"/>
    <w:rsid w:val="00541481"/>
    <w:rsid w:val="00541A12"/>
    <w:rsid w:val="005424CD"/>
    <w:rsid w:val="005428AE"/>
    <w:rsid w:val="00545BF6"/>
    <w:rsid w:val="00547945"/>
    <w:rsid w:val="00550283"/>
    <w:rsid w:val="00550448"/>
    <w:rsid w:val="005524A0"/>
    <w:rsid w:val="005532A2"/>
    <w:rsid w:val="00555EE1"/>
    <w:rsid w:val="00557C20"/>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62D6"/>
    <w:rsid w:val="00577562"/>
    <w:rsid w:val="00580937"/>
    <w:rsid w:val="00581A91"/>
    <w:rsid w:val="00581F9E"/>
    <w:rsid w:val="00582FC3"/>
    <w:rsid w:val="00583AB3"/>
    <w:rsid w:val="0058474F"/>
    <w:rsid w:val="00585293"/>
    <w:rsid w:val="005903F7"/>
    <w:rsid w:val="005920B0"/>
    <w:rsid w:val="0059290B"/>
    <w:rsid w:val="00595E47"/>
    <w:rsid w:val="00596900"/>
    <w:rsid w:val="00596C74"/>
    <w:rsid w:val="005971D3"/>
    <w:rsid w:val="005A012A"/>
    <w:rsid w:val="005A0A55"/>
    <w:rsid w:val="005A2DA9"/>
    <w:rsid w:val="005A53E5"/>
    <w:rsid w:val="005A7767"/>
    <w:rsid w:val="005B0114"/>
    <w:rsid w:val="005B03CA"/>
    <w:rsid w:val="005B06B8"/>
    <w:rsid w:val="005B0E0D"/>
    <w:rsid w:val="005B12B2"/>
    <w:rsid w:val="005B29D5"/>
    <w:rsid w:val="005B4030"/>
    <w:rsid w:val="005B4C70"/>
    <w:rsid w:val="005B688B"/>
    <w:rsid w:val="005B6F94"/>
    <w:rsid w:val="005B735A"/>
    <w:rsid w:val="005C2D62"/>
    <w:rsid w:val="005C3A44"/>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21829"/>
    <w:rsid w:val="0062219D"/>
    <w:rsid w:val="006221D5"/>
    <w:rsid w:val="00623A04"/>
    <w:rsid w:val="00623F1F"/>
    <w:rsid w:val="0062475A"/>
    <w:rsid w:val="00624803"/>
    <w:rsid w:val="0062583D"/>
    <w:rsid w:val="006259CE"/>
    <w:rsid w:val="00626A5D"/>
    <w:rsid w:val="006272D2"/>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7109"/>
    <w:rsid w:val="00670019"/>
    <w:rsid w:val="006708B8"/>
    <w:rsid w:val="00671057"/>
    <w:rsid w:val="0067143C"/>
    <w:rsid w:val="006714F3"/>
    <w:rsid w:val="00671EF0"/>
    <w:rsid w:val="00672376"/>
    <w:rsid w:val="006725B3"/>
    <w:rsid w:val="00672A17"/>
    <w:rsid w:val="00672F05"/>
    <w:rsid w:val="00673726"/>
    <w:rsid w:val="00677B36"/>
    <w:rsid w:val="00677C37"/>
    <w:rsid w:val="00680328"/>
    <w:rsid w:val="006863D7"/>
    <w:rsid w:val="00686770"/>
    <w:rsid w:val="00687F8F"/>
    <w:rsid w:val="00690955"/>
    <w:rsid w:val="006928F0"/>
    <w:rsid w:val="00693E98"/>
    <w:rsid w:val="006A04D3"/>
    <w:rsid w:val="006A1E8B"/>
    <w:rsid w:val="006A208B"/>
    <w:rsid w:val="006A2C33"/>
    <w:rsid w:val="006A4933"/>
    <w:rsid w:val="006B139D"/>
    <w:rsid w:val="006B173D"/>
    <w:rsid w:val="006B21B3"/>
    <w:rsid w:val="006B37B3"/>
    <w:rsid w:val="006B490B"/>
    <w:rsid w:val="006B56E5"/>
    <w:rsid w:val="006B5F5C"/>
    <w:rsid w:val="006B67A9"/>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B5D"/>
    <w:rsid w:val="006F64D8"/>
    <w:rsid w:val="006F7366"/>
    <w:rsid w:val="007010C3"/>
    <w:rsid w:val="007040D3"/>
    <w:rsid w:val="00704574"/>
    <w:rsid w:val="007054ED"/>
    <w:rsid w:val="00705C95"/>
    <w:rsid w:val="00705F49"/>
    <w:rsid w:val="007065DC"/>
    <w:rsid w:val="007075DA"/>
    <w:rsid w:val="00710F46"/>
    <w:rsid w:val="007127E4"/>
    <w:rsid w:val="007130B4"/>
    <w:rsid w:val="00714AC3"/>
    <w:rsid w:val="00716B0A"/>
    <w:rsid w:val="00720160"/>
    <w:rsid w:val="0072090B"/>
    <w:rsid w:val="00722FB9"/>
    <w:rsid w:val="00723227"/>
    <w:rsid w:val="0072335C"/>
    <w:rsid w:val="00723A01"/>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27F"/>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5A85"/>
    <w:rsid w:val="007F6EE3"/>
    <w:rsid w:val="00800A21"/>
    <w:rsid w:val="00801781"/>
    <w:rsid w:val="00803F1D"/>
    <w:rsid w:val="008047B3"/>
    <w:rsid w:val="0080751F"/>
    <w:rsid w:val="00810103"/>
    <w:rsid w:val="00810A5C"/>
    <w:rsid w:val="008117B7"/>
    <w:rsid w:val="00812CBE"/>
    <w:rsid w:val="00813B18"/>
    <w:rsid w:val="0081505D"/>
    <w:rsid w:val="0081559F"/>
    <w:rsid w:val="00816F2D"/>
    <w:rsid w:val="008207C0"/>
    <w:rsid w:val="00822AD8"/>
    <w:rsid w:val="00823552"/>
    <w:rsid w:val="00823590"/>
    <w:rsid w:val="008243C4"/>
    <w:rsid w:val="00824569"/>
    <w:rsid w:val="008268D8"/>
    <w:rsid w:val="008326B4"/>
    <w:rsid w:val="0083343C"/>
    <w:rsid w:val="0083672D"/>
    <w:rsid w:val="00837EF9"/>
    <w:rsid w:val="00840631"/>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80016"/>
    <w:rsid w:val="00880518"/>
    <w:rsid w:val="0088077D"/>
    <w:rsid w:val="00880A8A"/>
    <w:rsid w:val="00881FDE"/>
    <w:rsid w:val="008821E0"/>
    <w:rsid w:val="00882820"/>
    <w:rsid w:val="00883DFD"/>
    <w:rsid w:val="0088697A"/>
    <w:rsid w:val="008910A9"/>
    <w:rsid w:val="00891F2E"/>
    <w:rsid w:val="00895AEE"/>
    <w:rsid w:val="008964F3"/>
    <w:rsid w:val="008972D3"/>
    <w:rsid w:val="00897E81"/>
    <w:rsid w:val="008A0491"/>
    <w:rsid w:val="008A2300"/>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888"/>
    <w:rsid w:val="008C2F14"/>
    <w:rsid w:val="008C4B1D"/>
    <w:rsid w:val="008C4E00"/>
    <w:rsid w:val="008C5138"/>
    <w:rsid w:val="008C708C"/>
    <w:rsid w:val="008C763D"/>
    <w:rsid w:val="008D04DD"/>
    <w:rsid w:val="008D130E"/>
    <w:rsid w:val="008D3501"/>
    <w:rsid w:val="008D4029"/>
    <w:rsid w:val="008D5291"/>
    <w:rsid w:val="008E42C1"/>
    <w:rsid w:val="008F0231"/>
    <w:rsid w:val="008F248E"/>
    <w:rsid w:val="008F3DF2"/>
    <w:rsid w:val="008F4578"/>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434"/>
    <w:rsid w:val="009162A7"/>
    <w:rsid w:val="00917448"/>
    <w:rsid w:val="00917BE9"/>
    <w:rsid w:val="0092022D"/>
    <w:rsid w:val="00921CA6"/>
    <w:rsid w:val="0092359B"/>
    <w:rsid w:val="00923C25"/>
    <w:rsid w:val="00924CC4"/>
    <w:rsid w:val="00924F0A"/>
    <w:rsid w:val="00925060"/>
    <w:rsid w:val="00925FD1"/>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4971"/>
    <w:rsid w:val="00964D30"/>
    <w:rsid w:val="0096620C"/>
    <w:rsid w:val="00966945"/>
    <w:rsid w:val="009669AC"/>
    <w:rsid w:val="00967A9E"/>
    <w:rsid w:val="0097044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F58"/>
    <w:rsid w:val="009A7866"/>
    <w:rsid w:val="009A796B"/>
    <w:rsid w:val="009A7ED9"/>
    <w:rsid w:val="009B00D6"/>
    <w:rsid w:val="009B0186"/>
    <w:rsid w:val="009B0827"/>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58C3"/>
    <w:rsid w:val="00A95F64"/>
    <w:rsid w:val="00A96246"/>
    <w:rsid w:val="00A96DFF"/>
    <w:rsid w:val="00A97B32"/>
    <w:rsid w:val="00AA27C3"/>
    <w:rsid w:val="00AA2CD7"/>
    <w:rsid w:val="00AA4588"/>
    <w:rsid w:val="00AB1B3F"/>
    <w:rsid w:val="00AB1E89"/>
    <w:rsid w:val="00AB202B"/>
    <w:rsid w:val="00AB37B0"/>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4BFE"/>
    <w:rsid w:val="00B04DE8"/>
    <w:rsid w:val="00B053F1"/>
    <w:rsid w:val="00B06228"/>
    <w:rsid w:val="00B06CEE"/>
    <w:rsid w:val="00B073F4"/>
    <w:rsid w:val="00B076AA"/>
    <w:rsid w:val="00B10754"/>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77A3"/>
    <w:rsid w:val="00B60809"/>
    <w:rsid w:val="00B60AF7"/>
    <w:rsid w:val="00B6292A"/>
    <w:rsid w:val="00B63299"/>
    <w:rsid w:val="00B64508"/>
    <w:rsid w:val="00B65FDF"/>
    <w:rsid w:val="00B7189A"/>
    <w:rsid w:val="00B72DEF"/>
    <w:rsid w:val="00B74058"/>
    <w:rsid w:val="00B75CCF"/>
    <w:rsid w:val="00B76FF4"/>
    <w:rsid w:val="00B80803"/>
    <w:rsid w:val="00B81BA6"/>
    <w:rsid w:val="00B81DF2"/>
    <w:rsid w:val="00B84B18"/>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4F53"/>
    <w:rsid w:val="00BD5079"/>
    <w:rsid w:val="00BD61BD"/>
    <w:rsid w:val="00BD63B5"/>
    <w:rsid w:val="00BD6B59"/>
    <w:rsid w:val="00BD719B"/>
    <w:rsid w:val="00BD73BD"/>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3969"/>
    <w:rsid w:val="00C33A34"/>
    <w:rsid w:val="00C36525"/>
    <w:rsid w:val="00C37181"/>
    <w:rsid w:val="00C3729C"/>
    <w:rsid w:val="00C379B8"/>
    <w:rsid w:val="00C406B4"/>
    <w:rsid w:val="00C41318"/>
    <w:rsid w:val="00C436A3"/>
    <w:rsid w:val="00C47329"/>
    <w:rsid w:val="00C51333"/>
    <w:rsid w:val="00C51444"/>
    <w:rsid w:val="00C51845"/>
    <w:rsid w:val="00C529B5"/>
    <w:rsid w:val="00C55395"/>
    <w:rsid w:val="00C56C5C"/>
    <w:rsid w:val="00C575BE"/>
    <w:rsid w:val="00C57EEB"/>
    <w:rsid w:val="00C6769A"/>
    <w:rsid w:val="00C7196C"/>
    <w:rsid w:val="00C719B3"/>
    <w:rsid w:val="00C71C19"/>
    <w:rsid w:val="00C75494"/>
    <w:rsid w:val="00C76192"/>
    <w:rsid w:val="00C768AA"/>
    <w:rsid w:val="00C81E58"/>
    <w:rsid w:val="00C8254C"/>
    <w:rsid w:val="00C83198"/>
    <w:rsid w:val="00C8377D"/>
    <w:rsid w:val="00C83B77"/>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673F"/>
    <w:rsid w:val="00CA6BD9"/>
    <w:rsid w:val="00CA6D0C"/>
    <w:rsid w:val="00CB059A"/>
    <w:rsid w:val="00CB0F51"/>
    <w:rsid w:val="00CB1075"/>
    <w:rsid w:val="00CB1E40"/>
    <w:rsid w:val="00CB257F"/>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91211"/>
    <w:rsid w:val="00D91ADC"/>
    <w:rsid w:val="00D93994"/>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8A"/>
    <w:rsid w:val="00DB45D9"/>
    <w:rsid w:val="00DB5D0A"/>
    <w:rsid w:val="00DB69A5"/>
    <w:rsid w:val="00DB7111"/>
    <w:rsid w:val="00DB7869"/>
    <w:rsid w:val="00DC2B98"/>
    <w:rsid w:val="00DC3847"/>
    <w:rsid w:val="00DC3E1F"/>
    <w:rsid w:val="00DC6C9B"/>
    <w:rsid w:val="00DC7FA8"/>
    <w:rsid w:val="00DD1413"/>
    <w:rsid w:val="00DD1BA4"/>
    <w:rsid w:val="00DD2EC9"/>
    <w:rsid w:val="00DD586D"/>
    <w:rsid w:val="00DD6147"/>
    <w:rsid w:val="00DD6FD1"/>
    <w:rsid w:val="00DE064A"/>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38A1"/>
    <w:rsid w:val="00E03B1B"/>
    <w:rsid w:val="00E0448F"/>
    <w:rsid w:val="00E064EC"/>
    <w:rsid w:val="00E06D5E"/>
    <w:rsid w:val="00E07380"/>
    <w:rsid w:val="00E10FAF"/>
    <w:rsid w:val="00E115CE"/>
    <w:rsid w:val="00E120F3"/>
    <w:rsid w:val="00E13E8B"/>
    <w:rsid w:val="00E144FF"/>
    <w:rsid w:val="00E14D41"/>
    <w:rsid w:val="00E152BA"/>
    <w:rsid w:val="00E15D1B"/>
    <w:rsid w:val="00E200F3"/>
    <w:rsid w:val="00E208C6"/>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6E73"/>
    <w:rsid w:val="00E46E8B"/>
    <w:rsid w:val="00E509CD"/>
    <w:rsid w:val="00E50C4A"/>
    <w:rsid w:val="00E52483"/>
    <w:rsid w:val="00E5398F"/>
    <w:rsid w:val="00E56608"/>
    <w:rsid w:val="00E57475"/>
    <w:rsid w:val="00E57A07"/>
    <w:rsid w:val="00E57D11"/>
    <w:rsid w:val="00E57F5E"/>
    <w:rsid w:val="00E60794"/>
    <w:rsid w:val="00E60B01"/>
    <w:rsid w:val="00E6211D"/>
    <w:rsid w:val="00E62C12"/>
    <w:rsid w:val="00E62C47"/>
    <w:rsid w:val="00E637A2"/>
    <w:rsid w:val="00E64185"/>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2475"/>
    <w:rsid w:val="00E9447F"/>
    <w:rsid w:val="00E94FE4"/>
    <w:rsid w:val="00E9749C"/>
    <w:rsid w:val="00E97CDE"/>
    <w:rsid w:val="00EA0CF8"/>
    <w:rsid w:val="00EA15BE"/>
    <w:rsid w:val="00EA210A"/>
    <w:rsid w:val="00EA4E2B"/>
    <w:rsid w:val="00EA592D"/>
    <w:rsid w:val="00EA5CF3"/>
    <w:rsid w:val="00EA7B99"/>
    <w:rsid w:val="00EB0EF6"/>
    <w:rsid w:val="00EB1635"/>
    <w:rsid w:val="00EB1F51"/>
    <w:rsid w:val="00EB2412"/>
    <w:rsid w:val="00EB2479"/>
    <w:rsid w:val="00EB4F1F"/>
    <w:rsid w:val="00EB5424"/>
    <w:rsid w:val="00EB664C"/>
    <w:rsid w:val="00EB7FFC"/>
    <w:rsid w:val="00EC0615"/>
    <w:rsid w:val="00EC0660"/>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456C"/>
    <w:rsid w:val="00EF4AA5"/>
    <w:rsid w:val="00EF4FAA"/>
    <w:rsid w:val="00EF6FFC"/>
    <w:rsid w:val="00EF7686"/>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6AE"/>
    <w:rsid w:val="00FA0711"/>
    <w:rsid w:val="00FA194F"/>
    <w:rsid w:val="00FA329D"/>
    <w:rsid w:val="00FA4113"/>
    <w:rsid w:val="00FA5EBA"/>
    <w:rsid w:val="00FA6E94"/>
    <w:rsid w:val="00FA7291"/>
    <w:rsid w:val="00FB131D"/>
    <w:rsid w:val="00FB180E"/>
    <w:rsid w:val="00FB31D2"/>
    <w:rsid w:val="00FB3AEF"/>
    <w:rsid w:val="00FC172D"/>
    <w:rsid w:val="00FC1BEE"/>
    <w:rsid w:val="00FC2812"/>
    <w:rsid w:val="00FC3076"/>
    <w:rsid w:val="00FC3A1F"/>
    <w:rsid w:val="00FC7147"/>
    <w:rsid w:val="00FD0931"/>
    <w:rsid w:val="00FD0A27"/>
    <w:rsid w:val="00FD16D3"/>
    <w:rsid w:val="00FD2870"/>
    <w:rsid w:val="00FE0227"/>
    <w:rsid w:val="00FE2A58"/>
    <w:rsid w:val="00FE3482"/>
    <w:rsid w:val="00FE3B55"/>
    <w:rsid w:val="00FE4806"/>
    <w:rsid w:val="00FE4B9A"/>
    <w:rsid w:val="00FE591A"/>
    <w:rsid w:val="00FF0C60"/>
    <w:rsid w:val="00FF0E74"/>
    <w:rsid w:val="00FF26B5"/>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annotation text"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rsid w:val="002F03C2"/>
    <w:pPr>
      <w:tabs>
        <w:tab w:val="center" w:pos="4536"/>
        <w:tab w:val="right" w:pos="9072"/>
      </w:tabs>
    </w:pPr>
    <w:rPr>
      <w:szCs w:val="20"/>
      <w:lang w:val="x-none"/>
    </w:rPr>
  </w:style>
  <w:style w:type="character" w:customStyle="1" w:styleId="PtaChar">
    <w:name w:val="Päta Char"/>
    <w:link w:val="Pta"/>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annotation text"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rsid w:val="002F03C2"/>
    <w:pPr>
      <w:tabs>
        <w:tab w:val="center" w:pos="4536"/>
        <w:tab w:val="right" w:pos="9072"/>
      </w:tabs>
    </w:pPr>
    <w:rPr>
      <w:szCs w:val="20"/>
      <w:lang w:val="x-none"/>
    </w:rPr>
  </w:style>
  <w:style w:type="character" w:customStyle="1" w:styleId="PtaChar">
    <w:name w:val="Päta Char"/>
    <w:link w:val="Pta"/>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jektyoptp@vlada.gov.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itms2014.sk"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ptp@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7E9D2-A3FD-49B3-8DC3-BEE2A676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21968</Words>
  <Characters>142780</Characters>
  <Application>Microsoft Office Word</Application>
  <DocSecurity>0</DocSecurity>
  <Lines>1189</Lines>
  <Paragraphs>328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164420</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2016-03-17T13:55:00Z</dcterms:created>
  <dcterms:modified xsi:type="dcterms:W3CDTF">2016-03-17T13:55:00Z</dcterms:modified>
</cp:coreProperties>
</file>