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4142" w:type="dxa"/>
        <w:tblInd w:w="0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212BC6" w:rsidTr="00212BC6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212BC6" w:rsidRDefault="00212B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Rozpočet projektu pre partnera </w:t>
            </w:r>
          </w:p>
        </w:tc>
      </w:tr>
      <w:tr w:rsidR="00212BC6" w:rsidTr="00212BC6">
        <w:trPr>
          <w:trHeight w:val="6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C6" w:rsidRDefault="00212BC6">
            <w:pPr>
              <w:tabs>
                <w:tab w:val="left" w:pos="289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:rsidR="00212BC6" w:rsidRDefault="00212BC6">
            <w:pPr>
              <w:tabs>
                <w:tab w:val="left" w:pos="2893"/>
              </w:tabs>
              <w:rPr>
                <w:b/>
                <w:bCs/>
              </w:rPr>
            </w:pPr>
            <w:r>
              <w:rPr>
                <w:b/>
                <w:bCs/>
              </w:rPr>
              <w:t>... samosprávny kraj</w:t>
            </w:r>
          </w:p>
        </w:tc>
      </w:tr>
      <w:tr w:rsidR="00212BC6" w:rsidTr="00212BC6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11.A Priame výdavky:</w:t>
            </w:r>
          </w:p>
        </w:tc>
      </w:tr>
      <w:tr w:rsidR="00212BC6" w:rsidTr="00212BC6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tabs>
                <w:tab w:val="left" w:pos="2893"/>
              </w:tabs>
            </w:pPr>
            <w:r>
              <w:rPr>
                <w:b/>
                <w:bCs/>
              </w:rPr>
              <w:t>Typ aktivity</w:t>
            </w:r>
          </w:p>
        </w:tc>
      </w:tr>
      <w:tr w:rsidR="00212BC6" w:rsidTr="00212BC6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2BC6" w:rsidRDefault="00212BC6">
            <w:pPr>
              <w:tabs>
                <w:tab w:val="left" w:pos="2893"/>
              </w:tabs>
              <w:rPr>
                <w:b/>
                <w:bCs/>
              </w:rPr>
            </w:pPr>
            <w:r>
              <w:rPr>
                <w:b/>
                <w:bCs/>
              </w:rPr>
              <w:t>Podpora realizácie verejnej regionálnej siete pre kontaktné miesta príslušných RO a komunikačných kanálov pre verejnosť a AK prijímateľov</w:t>
            </w:r>
          </w:p>
        </w:tc>
      </w:tr>
      <w:tr w:rsidR="00212BC6" w:rsidTr="00212BC6">
        <w:trPr>
          <w:trHeight w:val="277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b/>
                <w:bCs/>
              </w:rPr>
            </w:pPr>
            <w:r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212BC6" w:rsidTr="00212BC6">
        <w:trPr>
          <w:trHeight w:val="32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2BC6" w:rsidRDefault="00212BC6">
            <w:pPr>
              <w:rPr>
                <w:b/>
                <w:bCs/>
              </w:rPr>
            </w:pPr>
            <w:r>
              <w:rPr>
                <w:b/>
                <w:bCs/>
              </w:rPr>
              <w:t>Zabezpečenie zriadenia a činnosti IS IPC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301 487,20 €</w:t>
            </w:r>
          </w:p>
        </w:tc>
      </w:tr>
      <w:tr w:rsidR="00212BC6" w:rsidTr="00212BC6">
        <w:trPr>
          <w:trHeight w:val="2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Skupina výdavku </w:t>
            </w:r>
            <w:r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212BC6" w:rsidTr="00212BC6">
        <w:trPr>
          <w:trHeight w:val="10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022 Samostatne hnuteľné veci a súbory hnuteľných vecí (713001 – Nákup interiérového vybavenia)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022 Samostatne hnuteľné veci a súbory hnuteľných vecí (713002 – Nákup výpočtovej techniky)</w:t>
            </w: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013 Softvér (711003 - Nákup softvéru; 718006 - Rekonštrukcia a modernizácia softvéru)</w:t>
            </w: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014 Oceniteľné práva (711004 - Nákup licencií)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022 Samostatne hnuteľné veci a súbory hnuteľných vecí (713004 – Nákup prevádzkových prístrojov)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 xml:space="preserve">521 Mzdové výdavky (610, 620 – osobné náklady (okrem 613, 615, 627, </w:t>
            </w:r>
            <w:r>
              <w:rPr>
                <w:bCs/>
              </w:rPr>
              <w:lastRenderedPageBreak/>
              <w:t>628); 642015 – Na nemocenské dávky)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518 Ostatné služby (637001 - Školenia, kurzy, semináre, porady, konferencie, sympóziá; 637003 - Propagácia, reklama a inzercia)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512 Cestovné náhrady (631001 - Tuzemské cestovné náhrady, 631002 -  Zahraničné cestovné náhrady)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512 Cestovné náhrady (634004 - Prepravné a nájom dopravných prostriedkov)</w:t>
            </w: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503 Spotreba ostatných neskladovateľných dodávok (634001 - Palivo, mazivá, oleje, špeciálne kvapaliny)</w:t>
            </w: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511 Opravy a udržiavanie (634002 – Servis, údržba, opravy a výdavky s tým spojené)</w:t>
            </w: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548 Výdavky na prevádzkovú činnosť (634003 – Poistenie)</w:t>
            </w: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568 Ostatné finančné výdavky (634005 - Karty, známky, poplatky (dopravné))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>518 Ostatné služby (632003 - Poštové služby a telekomunikačné služby)</w:t>
            </w:r>
          </w:p>
          <w:p w:rsidR="00212BC6" w:rsidRDefault="00212BC6">
            <w:pPr>
              <w:jc w:val="left"/>
              <w:rPr>
                <w:bCs/>
              </w:rPr>
            </w:pPr>
          </w:p>
          <w:p w:rsidR="00212BC6" w:rsidRDefault="00212BC6">
            <w:pPr>
              <w:jc w:val="left"/>
              <w:rPr>
                <w:bCs/>
              </w:rPr>
            </w:pPr>
            <w:r>
              <w:rPr>
                <w:bCs/>
              </w:rPr>
              <w:t xml:space="preserve">112 Zásoby (633009 - Knihy, časopisy, noviny , učebnice, učebné pomôcky a kompenzačné pomôcky; 633006 - </w:t>
            </w:r>
            <w:r>
              <w:rPr>
                <w:bCs/>
              </w:rPr>
              <w:lastRenderedPageBreak/>
              <w:t>Všeobecný materiál)</w:t>
            </w:r>
          </w:p>
          <w:p w:rsidR="00212BC6" w:rsidRDefault="00212BC6">
            <w:pPr>
              <w:jc w:val="left"/>
              <w:rPr>
                <w:bCs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4 500,00 €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3 000,00 €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1 000,00 €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187 387,20 €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57 750,00 €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33 000,00 €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8 250,00 €</w:t>
            </w: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</w:p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6 600,00 €</w:t>
            </w:r>
          </w:p>
        </w:tc>
      </w:tr>
      <w:tr w:rsidR="00212BC6" w:rsidTr="00212BC6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11.B Nepriame výdavky:</w:t>
            </w:r>
          </w:p>
        </w:tc>
      </w:tr>
      <w:tr w:rsidR="00212BC6" w:rsidTr="00212BC6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bCs/>
              </w:rPr>
            </w:pPr>
            <w:r>
              <w:rPr>
                <w:b/>
                <w:bCs/>
              </w:rPr>
              <w:t>Podporné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212BC6" w:rsidTr="00212BC6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2BC6" w:rsidRDefault="00212BC6">
            <w:pPr>
              <w:rPr>
                <w:b/>
                <w:bCs/>
              </w:rPr>
            </w:pPr>
            <w:r>
              <w:rPr>
                <w:b/>
                <w:bCs/>
              </w:rPr>
              <w:t>N/A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BC6" w:rsidRDefault="00212BC6">
            <w:pPr>
              <w:jc w:val="left"/>
              <w:rPr>
                <w:b/>
                <w:bCs/>
              </w:rPr>
            </w:pPr>
          </w:p>
        </w:tc>
      </w:tr>
      <w:tr w:rsidR="00212BC6" w:rsidTr="00212BC6">
        <w:trPr>
          <w:trHeight w:val="26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Skupina výdavku </w:t>
            </w:r>
            <w:r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212BC6" w:rsidTr="00212BC6">
        <w:trPr>
          <w:trHeight w:val="110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BC6" w:rsidRDefault="00212BC6">
            <w:pPr>
              <w:rPr>
                <w:bCs/>
              </w:rPr>
            </w:pPr>
            <w:r>
              <w:rPr>
                <w:bCs/>
              </w:rPr>
              <w:t>N/A</w:t>
            </w:r>
          </w:p>
          <w:p w:rsidR="00212BC6" w:rsidRDefault="00212BC6">
            <w:pPr>
              <w:rPr>
                <w:b/>
                <w:bCs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BC6" w:rsidRDefault="00212BC6">
            <w:pPr>
              <w:rPr>
                <w:b/>
                <w:bCs/>
              </w:rPr>
            </w:pPr>
          </w:p>
        </w:tc>
      </w:tr>
      <w:tr w:rsidR="00212BC6" w:rsidTr="00212BC6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212BC6" w:rsidRDefault="00212BC6">
            <w:pPr>
              <w:jc w:val="left"/>
              <w:rPr>
                <w:b/>
              </w:rPr>
            </w:pPr>
            <w:r>
              <w:rPr>
                <w:b/>
              </w:rPr>
              <w:t>11.C Požadovaná výška NFP</w:t>
            </w:r>
          </w:p>
        </w:tc>
      </w:tr>
      <w:tr w:rsidR="00212BC6" w:rsidTr="00212BC6">
        <w:trPr>
          <w:trHeight w:val="3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C6" w:rsidRDefault="00212BC6">
            <w:r>
              <w:rPr>
                <w:b/>
                <w:bCs/>
              </w:rPr>
              <w:t>301 487,20 €</w:t>
            </w:r>
          </w:p>
        </w:tc>
      </w:tr>
      <w:tr w:rsidR="00212BC6" w:rsidTr="00212BC6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N/A </w:t>
            </w:r>
          </w:p>
        </w:tc>
      </w:tr>
      <w:tr w:rsidR="00212BC6" w:rsidTr="00212BC6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>95,17 (82,06 + 13,11) %</w:t>
            </w:r>
          </w:p>
        </w:tc>
      </w:tr>
      <w:tr w:rsidR="00212BC6" w:rsidTr="00212BC6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Žiadaná výška nenávratného finančného príspevku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C6" w:rsidRDefault="00212BC6">
            <w:r>
              <w:rPr>
                <w:b/>
                <w:bCs/>
              </w:rPr>
              <w:t>286 925,37 €</w:t>
            </w:r>
          </w:p>
        </w:tc>
      </w:tr>
      <w:tr w:rsidR="00212BC6" w:rsidTr="00212BC6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212BC6" w:rsidRDefault="00212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C6" w:rsidRDefault="00212BC6">
            <w:pPr>
              <w:rPr>
                <w:b/>
              </w:rPr>
            </w:pPr>
            <w:r>
              <w:rPr>
                <w:b/>
              </w:rPr>
              <w:t>14 561,83 €</w:t>
            </w:r>
          </w:p>
        </w:tc>
      </w:tr>
    </w:tbl>
    <w:p w:rsidR="00212BC6" w:rsidRDefault="00212BC6" w:rsidP="00212BC6"/>
    <w:p w:rsidR="00135CCC" w:rsidRDefault="00135CCC">
      <w:bookmarkStart w:id="0" w:name="_GoBack"/>
      <w:bookmarkEnd w:id="0"/>
    </w:p>
    <w:sectPr w:rsidR="00135CCC" w:rsidSect="00212BC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D9A" w:rsidRDefault="00134D9A" w:rsidP="00212BC6">
      <w:pPr>
        <w:spacing w:after="0" w:line="240" w:lineRule="auto"/>
      </w:pPr>
      <w:r>
        <w:separator/>
      </w:r>
    </w:p>
  </w:endnote>
  <w:endnote w:type="continuationSeparator" w:id="0">
    <w:p w:rsidR="00134D9A" w:rsidRDefault="00134D9A" w:rsidP="002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D9A" w:rsidRDefault="00134D9A" w:rsidP="00212BC6">
      <w:pPr>
        <w:spacing w:after="0" w:line="240" w:lineRule="auto"/>
      </w:pPr>
      <w:r>
        <w:separator/>
      </w:r>
    </w:p>
  </w:footnote>
  <w:footnote w:type="continuationSeparator" w:id="0">
    <w:p w:rsidR="00134D9A" w:rsidRDefault="00134D9A" w:rsidP="002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BC6" w:rsidRDefault="00212BC6">
    <w:pPr>
      <w:pStyle w:val="Hlavika"/>
    </w:pPr>
    <w:r>
      <w:t>Príloha č. 3 Zmluvy o partnerstve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C6"/>
    <w:rsid w:val="00134D9A"/>
    <w:rsid w:val="00135CCC"/>
    <w:rsid w:val="00212BC6"/>
    <w:rsid w:val="00267EF9"/>
    <w:rsid w:val="00344F88"/>
    <w:rsid w:val="00E9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BC6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semiHidden/>
    <w:unhideWhenUsed/>
    <w:rsid w:val="00212B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2BC6"/>
    <w:rPr>
      <w:rFonts w:ascii="Times New Roman" w:hAnsi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2BC6"/>
    <w:rPr>
      <w:sz w:val="16"/>
      <w:szCs w:val="16"/>
    </w:rPr>
  </w:style>
  <w:style w:type="table" w:styleId="Mriekatabuky">
    <w:name w:val="Table Grid"/>
    <w:basedOn w:val="Normlnatabuka"/>
    <w:uiPriority w:val="59"/>
    <w:rsid w:val="00212B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1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BC6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1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2BC6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21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2BC6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BC6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semiHidden/>
    <w:unhideWhenUsed/>
    <w:rsid w:val="00212B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2BC6"/>
    <w:rPr>
      <w:rFonts w:ascii="Times New Roman" w:hAnsi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2BC6"/>
    <w:rPr>
      <w:sz w:val="16"/>
      <w:szCs w:val="16"/>
    </w:rPr>
  </w:style>
  <w:style w:type="table" w:styleId="Mriekatabuky">
    <w:name w:val="Table Grid"/>
    <w:basedOn w:val="Normlnatabuka"/>
    <w:uiPriority w:val="59"/>
    <w:rsid w:val="00212B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1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BC6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1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2BC6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21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2BC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Bertóková Lívia</dc:creator>
  <cp:lastModifiedBy>pripomienky</cp:lastModifiedBy>
  <cp:revision>4</cp:revision>
  <dcterms:created xsi:type="dcterms:W3CDTF">2016-02-24T14:05:00Z</dcterms:created>
  <dcterms:modified xsi:type="dcterms:W3CDTF">2016-03-08T16:42:00Z</dcterms:modified>
</cp:coreProperties>
</file>