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A69" w:rsidRPr="00D00457" w:rsidRDefault="006A7A69" w:rsidP="006A7A69">
      <w:pPr>
        <w:rPr>
          <w:bCs/>
        </w:rPr>
      </w:pPr>
      <w:r w:rsidRPr="00D03613">
        <w:rPr>
          <w:b/>
          <w:bCs/>
        </w:rPr>
        <w:t>Názov hlavnej aktivity projektu</w:t>
      </w:r>
      <w:r>
        <w:rPr>
          <w:b/>
          <w:bCs/>
        </w:rPr>
        <w:t xml:space="preserve">: </w:t>
      </w:r>
      <w:r>
        <w:rPr>
          <w:b/>
          <w:sz w:val="18"/>
          <w:szCs w:val="18"/>
        </w:rPr>
        <w:t xml:space="preserve"> </w:t>
      </w:r>
      <w:r w:rsidRPr="00D00457">
        <w:rPr>
          <w:bCs/>
        </w:rPr>
        <w:t>Zabezpečenie zriadenia a činnosti IS IPC</w:t>
      </w:r>
    </w:p>
    <w:p w:rsidR="006A7A69" w:rsidRPr="00D00457" w:rsidRDefault="006A7A69" w:rsidP="006A7A69">
      <w:pPr>
        <w:rPr>
          <w:bCs/>
        </w:rPr>
      </w:pPr>
      <w:r>
        <w:rPr>
          <w:b/>
          <w:bCs/>
        </w:rPr>
        <w:t xml:space="preserve">Časový rámec realizácie projektu partnermi: </w:t>
      </w:r>
      <w:r w:rsidR="00F70278">
        <w:rPr>
          <w:bCs/>
        </w:rPr>
        <w:t>33 mesiacov (1. 4</w:t>
      </w:r>
      <w:r w:rsidRPr="00D00457">
        <w:rPr>
          <w:bCs/>
        </w:rPr>
        <w:t>. 2016 – 31. 12. 2018)</w:t>
      </w:r>
    </w:p>
    <w:p w:rsidR="006A7A69" w:rsidRPr="005A6E17" w:rsidRDefault="006A7A69" w:rsidP="006A7A69">
      <w:pPr>
        <w:rPr>
          <w:szCs w:val="24"/>
        </w:rPr>
      </w:pPr>
      <w:r w:rsidRPr="005A6E17">
        <w:rPr>
          <w:szCs w:val="24"/>
        </w:rPr>
        <w:t xml:space="preserve">Realizácia hlavnej aktivity projektu sa skladá z nasledujúcich aktivít: </w:t>
      </w:r>
    </w:p>
    <w:p w:rsidR="006A7A69" w:rsidRPr="00D65B15" w:rsidRDefault="006A7A69" w:rsidP="006A7A69">
      <w:pPr>
        <w:pStyle w:val="Odsekzoznamu"/>
        <w:numPr>
          <w:ilvl w:val="0"/>
          <w:numId w:val="2"/>
        </w:numPr>
        <w:rPr>
          <w:szCs w:val="24"/>
        </w:rPr>
      </w:pPr>
      <w:r w:rsidRPr="00D65B15">
        <w:rPr>
          <w:szCs w:val="24"/>
        </w:rPr>
        <w:t>obstaranie IKT vybavenia IPC, (výpočto</w:t>
      </w:r>
      <w:r w:rsidR="00D3164F">
        <w:rPr>
          <w:szCs w:val="24"/>
        </w:rPr>
        <w:t>vá technika, hardware, software</w:t>
      </w:r>
      <w:r w:rsidRPr="00D65B15">
        <w:rPr>
          <w:szCs w:val="24"/>
        </w:rPr>
        <w:t xml:space="preserve">, tlačiareň, skener, </w:t>
      </w:r>
      <w:proofErr w:type="spellStart"/>
      <w:r w:rsidRPr="00D65B15">
        <w:rPr>
          <w:szCs w:val="24"/>
        </w:rPr>
        <w:t>dataprojektor</w:t>
      </w:r>
      <w:proofErr w:type="spellEnd"/>
      <w:r w:rsidRPr="00D65B15">
        <w:rPr>
          <w:szCs w:val="24"/>
        </w:rPr>
        <w:t xml:space="preserve"> atď.)</w:t>
      </w:r>
    </w:p>
    <w:p w:rsidR="006A7A69" w:rsidRPr="00D65B15" w:rsidRDefault="006A7A69" w:rsidP="006A7A69">
      <w:pPr>
        <w:pStyle w:val="Odsekzoznamu"/>
        <w:numPr>
          <w:ilvl w:val="0"/>
          <w:numId w:val="2"/>
        </w:numPr>
        <w:rPr>
          <w:szCs w:val="24"/>
        </w:rPr>
      </w:pPr>
      <w:r w:rsidRPr="00D65B15">
        <w:rPr>
          <w:szCs w:val="24"/>
        </w:rPr>
        <w:t xml:space="preserve">obstaranie interiérového (kancelárskeho) vybavenia IPC, </w:t>
      </w:r>
    </w:p>
    <w:p w:rsidR="006A7A69" w:rsidRPr="00D65B15" w:rsidRDefault="006A7A69" w:rsidP="006A7A69">
      <w:pPr>
        <w:pStyle w:val="Odsekzoznamu"/>
        <w:numPr>
          <w:ilvl w:val="0"/>
          <w:numId w:val="2"/>
        </w:numPr>
        <w:rPr>
          <w:szCs w:val="24"/>
        </w:rPr>
      </w:pPr>
      <w:r w:rsidRPr="00D65B15">
        <w:rPr>
          <w:szCs w:val="24"/>
        </w:rPr>
        <w:t>financovaní miezd a zákonných odvodov zamestnávateľa za zamestnancov  zabezpečujúcich úlohy IPC</w:t>
      </w:r>
      <w:r w:rsidR="004F39EA">
        <w:rPr>
          <w:szCs w:val="24"/>
        </w:rPr>
        <w:t>,</w:t>
      </w:r>
    </w:p>
    <w:p w:rsidR="006A7A69" w:rsidRPr="00D65B15" w:rsidRDefault="006A7A69" w:rsidP="006A7A69">
      <w:pPr>
        <w:pStyle w:val="Odsekzoznamu"/>
        <w:numPr>
          <w:ilvl w:val="0"/>
          <w:numId w:val="2"/>
        </w:numPr>
        <w:rPr>
          <w:szCs w:val="24"/>
        </w:rPr>
      </w:pPr>
      <w:r w:rsidRPr="00D65B15">
        <w:rPr>
          <w:szCs w:val="24"/>
        </w:rPr>
        <w:t xml:space="preserve">vzdelávanie zamestnancov IPC (školenia, kurzy, semináre, účasť na </w:t>
      </w:r>
      <w:proofErr w:type="spellStart"/>
      <w:r w:rsidRPr="00D65B15">
        <w:rPr>
          <w:szCs w:val="24"/>
        </w:rPr>
        <w:t>workshopoch</w:t>
      </w:r>
      <w:proofErr w:type="spellEnd"/>
      <w:r w:rsidRPr="00D65B15">
        <w:rPr>
          <w:szCs w:val="24"/>
        </w:rPr>
        <w:t>) prostredníctvom centrálne riadeného (zo strany CKO v spolupráci s RO) prípravného (resp. adaptačného) odborného a následne priebežného vzdelávania podľa individuálnych potrieb IPC a možností CKO, resp. RO,</w:t>
      </w:r>
    </w:p>
    <w:p w:rsidR="006A7A69" w:rsidRPr="00D65B15" w:rsidRDefault="006A7A69" w:rsidP="006A7A69">
      <w:pPr>
        <w:pStyle w:val="Odsekzoznamu"/>
        <w:numPr>
          <w:ilvl w:val="0"/>
          <w:numId w:val="2"/>
        </w:numPr>
        <w:rPr>
          <w:szCs w:val="24"/>
        </w:rPr>
      </w:pPr>
      <w:r w:rsidRPr="00D65B15">
        <w:rPr>
          <w:szCs w:val="24"/>
        </w:rPr>
        <w:t xml:space="preserve">úhrada cestovných výdavkov, náhrad, nákladov na pracovné cesty, nákup spotrebného materiálu, výdavkov na komunikáciu, poštovné, </w:t>
      </w:r>
    </w:p>
    <w:p w:rsidR="006A7A69" w:rsidRPr="00D00457" w:rsidRDefault="006A7A69" w:rsidP="006A7A69">
      <w:pPr>
        <w:pStyle w:val="Odsekzoznamu"/>
        <w:numPr>
          <w:ilvl w:val="0"/>
          <w:numId w:val="2"/>
        </w:numPr>
        <w:rPr>
          <w:szCs w:val="24"/>
        </w:rPr>
      </w:pPr>
      <w:r w:rsidRPr="00D65B15">
        <w:rPr>
          <w:szCs w:val="24"/>
        </w:rPr>
        <w:t>zabezpečenie informačno-komunikačných aktivít IPC, (spolupráca s CKO a RO na</w:t>
      </w:r>
      <w:r w:rsidRPr="00D00457">
        <w:rPr>
          <w:szCs w:val="24"/>
        </w:rPr>
        <w:t xml:space="preserve"> príprave a realizácii informačných aktivít o možnostiach využívania EŠIF určených pre širšiu verejnosť; spoluprácu s RO pri príprave a realizácii informačných aktivít určených pre špecifické cieľové skupiny; ďalej  organizáciu seminárov k zverejneným výzvam; organizáciu školení pre žiadateľov na podporu procesu prípravy žiadostí o príspevok z EŠIF; organizáciu školení pre prijímateľov na podporu procesu implementácie projektov; propagáciu pozitívnych príkladov úspešne zrealizovaných projektov z EŠIF v jednotlivých regiónoch SR; podávanie správ o činnosti najmä pre CKO a RO a vypracovanie príslušných častí pre správy na úrovni RO, CKO;), poskytovanie poradenských služieb osobne, telefonicky, e-mailom; poskytovanie osobných konzultácií pri tematickom zameraní, podporu sieťovania ako podporu pri identifikácii partnerov pre šírenie informovanosti o EŠIF a potenciálnych žiadateľov; zostavenie, vedenie a priebežná aktualizácia hromadného elektronického distribučného zoznamu najmä potenciálnych žiadateľov (tzv. „</w:t>
      </w:r>
      <w:proofErr w:type="spellStart"/>
      <w:r w:rsidRPr="00D00457">
        <w:rPr>
          <w:szCs w:val="24"/>
        </w:rPr>
        <w:t>mailing</w:t>
      </w:r>
      <w:proofErr w:type="spellEnd"/>
      <w:r w:rsidRPr="00D00457">
        <w:rPr>
          <w:szCs w:val="24"/>
        </w:rPr>
        <w:t xml:space="preserve"> list“), cez ktorý sú </w:t>
      </w:r>
      <w:proofErr w:type="spellStart"/>
      <w:r w:rsidRPr="00D00457">
        <w:rPr>
          <w:szCs w:val="24"/>
        </w:rPr>
        <w:t>preposielané</w:t>
      </w:r>
      <w:proofErr w:type="spellEnd"/>
      <w:r w:rsidRPr="00D00457">
        <w:rPr>
          <w:szCs w:val="24"/>
        </w:rPr>
        <w:t xml:space="preserve"> aktuálne informácie adresátom registrovaným na odber noviniek; poskytovanie informácií o potenciálnych partneroch pre šírenie informovanosti o EŠIF a potenciálnych žiadateľov).</w:t>
      </w:r>
    </w:p>
    <w:p w:rsidR="006A7A69" w:rsidRDefault="006A7A69" w:rsidP="006A7A69">
      <w:pPr>
        <w:pStyle w:val="Odsekzoznamu"/>
        <w:ind w:left="284"/>
        <w:rPr>
          <w:b/>
          <w:sz w:val="18"/>
          <w:szCs w:val="18"/>
        </w:rPr>
      </w:pPr>
    </w:p>
    <w:p w:rsidR="006A7A69" w:rsidRPr="00D00457" w:rsidRDefault="006A7A69" w:rsidP="006A7A69">
      <w:pPr>
        <w:spacing w:after="0" w:line="240" w:lineRule="auto"/>
        <w:rPr>
          <w:rFonts w:cs="Times New Roman"/>
          <w:szCs w:val="24"/>
          <w:lang w:eastAsia="sk-SK"/>
        </w:rPr>
      </w:pPr>
      <w:r w:rsidRPr="00D00457">
        <w:rPr>
          <w:szCs w:val="24"/>
        </w:rPr>
        <w:t xml:space="preserve">Navrhované aktivity ako celok predstavujú aktivity zabezpečenia zriadenia a činnosti IS IPC, a teda uvedenie subjektu, t. j. IPC do praxe, ktorého postavenie je definované na úrovni Systému riadenia európskych štrukturálnych a investičných fondov na programové obdobie 2014 – 2020. </w:t>
      </w:r>
    </w:p>
    <w:p w:rsidR="00135CCC" w:rsidRDefault="00135CCC">
      <w:pPr>
        <w:rPr>
          <w:szCs w:val="24"/>
        </w:rPr>
      </w:pPr>
    </w:p>
    <w:p w:rsidR="00D00457" w:rsidRDefault="00D00457">
      <w:pPr>
        <w:rPr>
          <w:szCs w:val="24"/>
        </w:rPr>
      </w:pPr>
    </w:p>
    <w:p w:rsidR="00D00457" w:rsidRDefault="00D00457">
      <w:pPr>
        <w:rPr>
          <w:szCs w:val="24"/>
        </w:rPr>
      </w:pPr>
    </w:p>
    <w:p w:rsidR="00D00457" w:rsidRDefault="00D00457">
      <w:pPr>
        <w:rPr>
          <w:szCs w:val="24"/>
        </w:rPr>
      </w:pPr>
    </w:p>
    <w:p w:rsidR="00D00457" w:rsidRDefault="00D00457">
      <w:pPr>
        <w:rPr>
          <w:szCs w:val="24"/>
        </w:rPr>
        <w:sectPr w:rsidR="00D00457" w:rsidSect="00D00457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00457" w:rsidRPr="00D00457" w:rsidRDefault="00D00457" w:rsidP="00D00457">
      <w:pPr>
        <w:spacing w:after="0" w:line="240" w:lineRule="auto"/>
        <w:jc w:val="center"/>
        <w:rPr>
          <w:rFonts w:eastAsia="Calibri" w:cs="Times New Roman"/>
          <w:b/>
          <w:szCs w:val="24"/>
          <w:lang w:eastAsia="sk-SK"/>
        </w:rPr>
      </w:pPr>
      <w:r w:rsidRPr="00D00457">
        <w:rPr>
          <w:rFonts w:eastAsia="Calibri" w:cs="Times New Roman"/>
          <w:b/>
          <w:szCs w:val="24"/>
          <w:lang w:eastAsia="sk-SK"/>
        </w:rPr>
        <w:lastRenderedPageBreak/>
        <w:t>Zoznam merateľných ukazovateľov, vrátane ukazovateľov relevantných k HP</w:t>
      </w:r>
    </w:p>
    <w:p w:rsidR="00D00457" w:rsidRPr="00D00457" w:rsidRDefault="00D00457" w:rsidP="00D00457">
      <w:pPr>
        <w:spacing w:after="0" w:line="240" w:lineRule="auto"/>
        <w:jc w:val="center"/>
        <w:rPr>
          <w:rFonts w:eastAsia="Calibri" w:cs="Times New Roman"/>
          <w:szCs w:val="24"/>
          <w:lang w:eastAsia="sk-SK"/>
        </w:rPr>
      </w:pPr>
    </w:p>
    <w:tbl>
      <w:tblPr>
        <w:tblW w:w="1419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1956"/>
        <w:gridCol w:w="5273"/>
        <w:gridCol w:w="851"/>
        <w:gridCol w:w="2268"/>
        <w:gridCol w:w="1275"/>
        <w:gridCol w:w="1701"/>
      </w:tblGrid>
      <w:tr w:rsidR="00D00457" w:rsidRPr="00D00457" w:rsidTr="00D00457">
        <w:trPr>
          <w:trHeight w:val="30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00457" w:rsidRPr="00D00457" w:rsidRDefault="00D00457" w:rsidP="00D00457">
            <w:pPr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D00457">
              <w:rPr>
                <w:rFonts w:eastAsia="Times New Roman" w:cs="Times New Roman"/>
                <w:szCs w:val="24"/>
              </w:rPr>
              <w:t>Kód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00457" w:rsidRPr="00D00457" w:rsidRDefault="00D00457" w:rsidP="00D00457">
            <w:pPr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D00457">
              <w:rPr>
                <w:rFonts w:eastAsia="Times New Roman" w:cs="Times New Roman"/>
                <w:szCs w:val="24"/>
              </w:rPr>
              <w:t>Názov ukazovateľa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00457" w:rsidRPr="00D00457" w:rsidRDefault="00D00457" w:rsidP="00D00457">
            <w:pPr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D00457">
              <w:rPr>
                <w:rFonts w:eastAsia="Times New Roman" w:cs="Times New Roman"/>
                <w:szCs w:val="24"/>
              </w:rPr>
              <w:t>Definícia/metóda výpočtu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00457" w:rsidRPr="00D00457" w:rsidRDefault="00D00457" w:rsidP="00D00457">
            <w:pPr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D00457">
              <w:rPr>
                <w:rFonts w:eastAsia="Times New Roman" w:cs="Times New Roman"/>
                <w:szCs w:val="24"/>
              </w:rPr>
              <w:t>Merná jednotka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00457" w:rsidRPr="00D00457" w:rsidRDefault="00D00457" w:rsidP="00D00457">
            <w:pPr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D00457">
              <w:rPr>
                <w:rFonts w:eastAsia="Times New Roman" w:cs="Times New Roman"/>
                <w:szCs w:val="24"/>
              </w:rPr>
              <w:t>Čas plnenia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00457" w:rsidRPr="00D00457" w:rsidRDefault="00D00457" w:rsidP="00D00457">
            <w:pPr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D00457">
              <w:rPr>
                <w:rFonts w:eastAsia="Times New Roman" w:cs="Times New Roman"/>
                <w:szCs w:val="24"/>
              </w:rPr>
              <w:t>Príznak rizika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00457" w:rsidRPr="00D00457" w:rsidRDefault="00D00457" w:rsidP="00D00457">
            <w:pPr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D00457">
              <w:rPr>
                <w:rFonts w:eastAsia="Times New Roman" w:cs="Times New Roman"/>
                <w:szCs w:val="24"/>
              </w:rPr>
              <w:t>Relevancia k HP</w:t>
            </w:r>
          </w:p>
        </w:tc>
      </w:tr>
      <w:tr w:rsidR="00D00457" w:rsidRPr="00D00457" w:rsidTr="00D00457">
        <w:trPr>
          <w:trHeight w:val="90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457" w:rsidRPr="00D00457" w:rsidRDefault="00D00457" w:rsidP="00D00457">
            <w:pPr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D00457">
              <w:rPr>
                <w:rFonts w:eastAsia="Times New Roman" w:cs="Times New Roman"/>
                <w:szCs w:val="24"/>
              </w:rPr>
              <w:t>P0253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457" w:rsidRPr="00D00457" w:rsidRDefault="00D00457" w:rsidP="00D00457">
            <w:pPr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D00457">
              <w:rPr>
                <w:rFonts w:eastAsia="Times New Roman" w:cs="Times New Roman"/>
                <w:szCs w:val="24"/>
              </w:rPr>
              <w:t>Počet organizácií regionálnych sietí zapojených do poskytovania poradenstva o EŠIF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457" w:rsidRPr="00D00457" w:rsidRDefault="00D00457" w:rsidP="00D00457">
            <w:pPr>
              <w:spacing w:after="0"/>
              <w:rPr>
                <w:rFonts w:eastAsia="Times New Roman" w:cs="Times New Roman"/>
                <w:szCs w:val="24"/>
              </w:rPr>
            </w:pPr>
            <w:r w:rsidRPr="00D00457">
              <w:rPr>
                <w:rFonts w:eastAsia="Times New Roman" w:cs="Times New Roman"/>
                <w:szCs w:val="24"/>
              </w:rPr>
              <w:t>Celkový kumulatívny počet organizácií regionálnych sietí zapojených do poskytovania poradenstva o EŠIF v rámci daného projektu.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457" w:rsidRPr="00D00457" w:rsidRDefault="00D00457" w:rsidP="00D00457">
            <w:pPr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D00457">
              <w:rPr>
                <w:rFonts w:eastAsia="Times New Roman" w:cs="Times New Roman"/>
                <w:szCs w:val="24"/>
              </w:rPr>
              <w:t>počet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457" w:rsidRPr="00D00457" w:rsidRDefault="00D00457" w:rsidP="00D00457">
            <w:pPr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D00457">
              <w:rPr>
                <w:rFonts w:eastAsia="Times New Roman" w:cs="Times New Roman"/>
                <w:szCs w:val="24"/>
              </w:rPr>
              <w:t>K ukončeniu realizácie projektu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457" w:rsidRPr="00D00457" w:rsidRDefault="00F5193A" w:rsidP="00F5193A">
            <w:pPr>
              <w:spacing w:after="0"/>
              <w:jc w:val="left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s</w:t>
            </w:r>
            <w:r w:rsidR="00D00457" w:rsidRPr="00D00457">
              <w:rPr>
                <w:rFonts w:eastAsia="Times New Roman" w:cs="Times New Roman"/>
                <w:szCs w:val="24"/>
              </w:rPr>
              <w:t xml:space="preserve"> príznak</w:t>
            </w:r>
            <w:r>
              <w:rPr>
                <w:rFonts w:eastAsia="Times New Roman" w:cs="Times New Roman"/>
                <w:szCs w:val="24"/>
              </w:rPr>
              <w:t>om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457" w:rsidRPr="00D00457" w:rsidRDefault="00D00457" w:rsidP="00D00457">
            <w:pPr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D00457">
              <w:rPr>
                <w:rFonts w:eastAsia="Times New Roman" w:cs="Times New Roman"/>
                <w:szCs w:val="24"/>
              </w:rPr>
              <w:t>N/A</w:t>
            </w:r>
          </w:p>
        </w:tc>
      </w:tr>
    </w:tbl>
    <w:p w:rsidR="00D00457" w:rsidRPr="00D00457" w:rsidRDefault="00D00457" w:rsidP="00D00457">
      <w:pPr>
        <w:spacing w:after="0" w:line="240" w:lineRule="auto"/>
        <w:rPr>
          <w:rFonts w:eastAsia="Calibri" w:cs="Times New Roman"/>
          <w:szCs w:val="24"/>
          <w:lang w:eastAsia="sk-SK"/>
        </w:rPr>
      </w:pPr>
    </w:p>
    <w:p w:rsidR="00D00457" w:rsidRPr="00D00457" w:rsidRDefault="00D00457">
      <w:pPr>
        <w:rPr>
          <w:szCs w:val="24"/>
        </w:rPr>
      </w:pPr>
      <w:bookmarkStart w:id="0" w:name="_GoBack"/>
      <w:bookmarkEnd w:id="0"/>
    </w:p>
    <w:sectPr w:rsidR="00D00457" w:rsidRPr="00D00457" w:rsidSect="00D004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528" w:rsidRDefault="00AF5528" w:rsidP="006A7A69">
      <w:pPr>
        <w:spacing w:after="0" w:line="240" w:lineRule="auto"/>
      </w:pPr>
      <w:r>
        <w:separator/>
      </w:r>
    </w:p>
  </w:endnote>
  <w:endnote w:type="continuationSeparator" w:id="0">
    <w:p w:rsidR="00AF5528" w:rsidRDefault="00AF5528" w:rsidP="006A7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528" w:rsidRDefault="00AF5528" w:rsidP="006A7A69">
      <w:pPr>
        <w:spacing w:after="0" w:line="240" w:lineRule="auto"/>
      </w:pPr>
      <w:r>
        <w:separator/>
      </w:r>
    </w:p>
  </w:footnote>
  <w:footnote w:type="continuationSeparator" w:id="0">
    <w:p w:rsidR="00AF5528" w:rsidRDefault="00AF5528" w:rsidP="006A7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457" w:rsidRDefault="006A7A69">
    <w:pPr>
      <w:pStyle w:val="Hlavika"/>
      <w:rPr>
        <w:rFonts w:cs="Times New Roman"/>
      </w:rPr>
    </w:pPr>
    <w:r w:rsidRPr="006A7A69">
      <w:rPr>
        <w:rFonts w:cs="Times New Roman"/>
      </w:rPr>
      <w:t xml:space="preserve">Príloha č. 1 Zmluvy o partnerstve </w:t>
    </w:r>
  </w:p>
  <w:p w:rsidR="006A7A69" w:rsidRPr="00D00457" w:rsidRDefault="00D00457">
    <w:pPr>
      <w:pStyle w:val="Hlavika"/>
      <w:rPr>
        <w:rFonts w:cs="Times New Roman"/>
      </w:rPr>
    </w:pPr>
    <w:r w:rsidRPr="00D00457">
      <w:rPr>
        <w:bCs/>
      </w:rPr>
      <w:t>Prehľad hlavných a podporných aktivít a merateľných ukazovateľov projektu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B622A"/>
    <w:multiLevelType w:val="hybridMultilevel"/>
    <w:tmpl w:val="6D2E21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7E3312"/>
    <w:multiLevelType w:val="hybridMultilevel"/>
    <w:tmpl w:val="BE64BAD6"/>
    <w:lvl w:ilvl="0" w:tplc="2D301A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A69"/>
    <w:rsid w:val="000C4AFF"/>
    <w:rsid w:val="00135CCC"/>
    <w:rsid w:val="004F39EA"/>
    <w:rsid w:val="005A6E17"/>
    <w:rsid w:val="006A7A69"/>
    <w:rsid w:val="00AF5528"/>
    <w:rsid w:val="00D00457"/>
    <w:rsid w:val="00D3164F"/>
    <w:rsid w:val="00D65B15"/>
    <w:rsid w:val="00F5193A"/>
    <w:rsid w:val="00F70278"/>
    <w:rsid w:val="00FF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A7A69"/>
    <w:pPr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A7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A7A69"/>
  </w:style>
  <w:style w:type="paragraph" w:styleId="Pta">
    <w:name w:val="footer"/>
    <w:basedOn w:val="Normlny"/>
    <w:link w:val="PtaChar"/>
    <w:uiPriority w:val="99"/>
    <w:unhideWhenUsed/>
    <w:rsid w:val="006A7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A7A69"/>
  </w:style>
  <w:style w:type="paragraph" w:styleId="Textkomentra">
    <w:name w:val="annotation text"/>
    <w:basedOn w:val="Normlny"/>
    <w:link w:val="TextkomentraChar"/>
    <w:uiPriority w:val="99"/>
    <w:semiHidden/>
    <w:unhideWhenUsed/>
    <w:rsid w:val="006A7A6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A7A69"/>
    <w:rPr>
      <w:rFonts w:ascii="Times New Roman" w:hAnsi="Times New Roman"/>
      <w:sz w:val="20"/>
      <w:szCs w:val="20"/>
    </w:rPr>
  </w:style>
  <w:style w:type="paragraph" w:styleId="Odsekzoznamu">
    <w:name w:val="List Paragraph"/>
    <w:basedOn w:val="Normlny"/>
    <w:uiPriority w:val="34"/>
    <w:qFormat/>
    <w:rsid w:val="006A7A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6A7A69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7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7A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A7A69"/>
    <w:pPr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A7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A7A69"/>
  </w:style>
  <w:style w:type="paragraph" w:styleId="Pta">
    <w:name w:val="footer"/>
    <w:basedOn w:val="Normlny"/>
    <w:link w:val="PtaChar"/>
    <w:uiPriority w:val="99"/>
    <w:unhideWhenUsed/>
    <w:rsid w:val="006A7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A7A69"/>
  </w:style>
  <w:style w:type="paragraph" w:styleId="Textkomentra">
    <w:name w:val="annotation text"/>
    <w:basedOn w:val="Normlny"/>
    <w:link w:val="TextkomentraChar"/>
    <w:uiPriority w:val="99"/>
    <w:semiHidden/>
    <w:unhideWhenUsed/>
    <w:rsid w:val="006A7A6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A7A69"/>
    <w:rPr>
      <w:rFonts w:ascii="Times New Roman" w:hAnsi="Times New Roman"/>
      <w:sz w:val="20"/>
      <w:szCs w:val="20"/>
    </w:rPr>
  </w:style>
  <w:style w:type="paragraph" w:styleId="Odsekzoznamu">
    <w:name w:val="List Paragraph"/>
    <w:basedOn w:val="Normlny"/>
    <w:uiPriority w:val="34"/>
    <w:qFormat/>
    <w:rsid w:val="006A7A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6A7A69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7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7A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9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Bertóková Lívia</dc:creator>
  <cp:lastModifiedBy>pripomienky</cp:lastModifiedBy>
  <cp:revision>3</cp:revision>
  <dcterms:created xsi:type="dcterms:W3CDTF">2016-02-24T14:04:00Z</dcterms:created>
  <dcterms:modified xsi:type="dcterms:W3CDTF">2016-02-24T14:04:00Z</dcterms:modified>
</cp:coreProperties>
</file>