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FAC" w:rsidRPr="00D358CA" w:rsidRDefault="00422FAC" w:rsidP="00422FAC">
      <w:pPr>
        <w:pStyle w:val="Nadpis2"/>
      </w:pPr>
      <w:r>
        <w:t>Príloha č. 9 Prioritná os 1 - Špecifický cieľ 2: Zabezpečiť účinné informovanie a publicitu</w:t>
      </w:r>
    </w:p>
    <w:p w:rsidR="00422FAC" w:rsidRDefault="00422FAC" w:rsidP="00422FAC"/>
    <w:p w:rsidR="00422FAC" w:rsidRPr="008B41D2" w:rsidRDefault="00422FAC" w:rsidP="00422FAC">
      <w:r w:rsidRPr="008B41D2">
        <w:t>Špecifický cieľ je zameraný na zefektívnenie stratégie komunikácie zo strany koordinujúcich subjektov EŠIF, aby pomoc poskytovaná z EŠIF bola transparentná pre všetky cieľové skupiny prostredníctvom širokej publicity na všetkých úrovniach riadenia a implementácie, s použitím širokého spektra nástrojov a  nových spôsobov komunikácie.</w:t>
      </w:r>
    </w:p>
    <w:p w:rsidR="00422FAC" w:rsidRPr="008B41D2" w:rsidRDefault="00422FAC" w:rsidP="00422FAC">
      <w:r w:rsidRPr="008B41D2">
        <w:t>Priama informovanosť v oblasti podpory EŠIF pre AK prijímateľov a širokej verejnosti a možnosti realizácie projektov si vyžiada väčší dôraz na stratégiu komunikácie o podpore OP, vyššiu úroveň koordinácie CKO a riadenia komunikácie voči RO a dôraz na posilnenie nových médií. Všetky aktivity spojené s publicitou, informovanosťou a zverejňovaním informácií na webových stránkach budú dostupné aj v prístupnej forme.</w:t>
      </w:r>
    </w:p>
    <w:p w:rsidR="00422FAC" w:rsidRPr="008B41D2" w:rsidRDefault="00422FAC" w:rsidP="00422FAC">
      <w:pPr>
        <w:rPr>
          <w:szCs w:val="24"/>
        </w:rPr>
      </w:pPr>
      <w:r w:rsidRPr="008B41D2">
        <w:rPr>
          <w:szCs w:val="24"/>
        </w:rPr>
        <w:t>Nezávislé prieskumy verejnej mienky (</w:t>
      </w:r>
      <w:proofErr w:type="spellStart"/>
      <w:r w:rsidRPr="008B41D2">
        <w:rPr>
          <w:szCs w:val="24"/>
        </w:rPr>
        <w:t>Eurobarometer</w:t>
      </w:r>
      <w:proofErr w:type="spellEnd"/>
      <w:r w:rsidRPr="008B41D2">
        <w:rPr>
          <w:szCs w:val="24"/>
        </w:rPr>
        <w:t xml:space="preserve">) zhodnotili, že povedomie verejnosti o prínose politiky súdržnosti (podpore Spoločenstva) je na adekvátnej úrovni. Bez plnohodnotnej informačnej kampane zameranej na udržanie povedomia a informovanosti AK prijímateľov a širokej verejnosti sa pozitívne výsledky môžu zmeniť, resp. sa informovanie o podpore EŠIF do veľkej miery obmedzí na negatívne informácie. </w:t>
      </w:r>
    </w:p>
    <w:p w:rsidR="00422FAC" w:rsidRPr="008B41D2" w:rsidRDefault="00422FAC" w:rsidP="00422FAC">
      <w:pPr>
        <w:rPr>
          <w:szCs w:val="24"/>
        </w:rPr>
      </w:pPr>
      <w:r w:rsidRPr="008B41D2">
        <w:rPr>
          <w:szCs w:val="24"/>
        </w:rPr>
        <w:t xml:space="preserve">Pre zabezpečenie vyššej efektívnosti a účinnosti informačných a komunikačných aktivít bude potrebné vypracovať komunikačnú stratégiu podpory EŠIF na Slovensku na úrovni Partnerskej dohody a zabezpečiť operatívnu spoluprácu medzi CKO a RO s cieľom koordinácie činností. </w:t>
      </w:r>
    </w:p>
    <w:p w:rsidR="00422FAC" w:rsidRPr="008B41D2" w:rsidRDefault="00422FAC" w:rsidP="00422FAC">
      <w:pPr>
        <w:rPr>
          <w:szCs w:val="24"/>
        </w:rPr>
      </w:pPr>
      <w:r w:rsidRPr="008B41D2">
        <w:rPr>
          <w:szCs w:val="24"/>
        </w:rPr>
        <w:t>Časť prostriedkov technickej pomoci v rámci špecifického cieľa bude vynaložená na zabezpečenie efektívnej komunikácie na úrovni CKO  s podporou RO OP TP a RO a SORO s cieľom zaistenia publicity a znalosti AK prijímateľov o príslušných RO a SORO. Zabezpečenie informovanosti AK prijímateľov o jednotlivých RO a SORO vytvorí prehľadnosť a zvýšenie pozitívneho prístupu k vnímaniu l subjektom EŠIF.</w:t>
      </w:r>
    </w:p>
    <w:p w:rsidR="00422FAC" w:rsidRPr="008B41D2" w:rsidRDefault="00422FAC" w:rsidP="00422FAC">
      <w:pPr>
        <w:rPr>
          <w:szCs w:val="24"/>
        </w:rPr>
      </w:pPr>
      <w:r w:rsidRPr="008B41D2">
        <w:rPr>
          <w:szCs w:val="24"/>
        </w:rPr>
        <w:t xml:space="preserve">Špecifické služby ako napr. príprava spotov a nákup médií budú zabezpečované externými dodávkami. Pozornosť sa bude venovať aktívnemu využívaniu webových sídel na komunikáciu s verejnosťou. </w:t>
      </w:r>
    </w:p>
    <w:p w:rsidR="00422FAC" w:rsidRDefault="00422FAC" w:rsidP="00422FAC">
      <w:pPr>
        <w:rPr>
          <w:szCs w:val="24"/>
        </w:rPr>
      </w:pPr>
      <w:r w:rsidRPr="008B41D2">
        <w:rPr>
          <w:szCs w:val="24"/>
        </w:rPr>
        <w:t>Vo vzťahu k PO 2014-2020 a k začiatku implementácie Partnerskej dohody a nových OP bude zabezpečovaná ucelená informačná kampaň zo strany CKO  s podporou RO OP TP. Kvalitne pripravená iniciačná kampaň významnou mierou prispeje k zvýšeniu povedomia AK prijímateľov a širokej verejnosti o pomoci EŠIF a možnostiach jej využívania, taktiež aj OCKÚ OLAF zlepší informovanosť o činnostiach, kompetenciách a úlohách OCKÚ OLAF voči subjektom v rámci riadenia a implementácie EŠIF, ale najmä voči verejnosti k zabezpečeniu lepšej spolupráce a pomoci pri identifikovaní a vyšetrovaní prípadov poškodenia finančných záujmov EÚ.</w:t>
      </w:r>
      <w:bookmarkStart w:id="0" w:name="_Toc385876331"/>
      <w:bookmarkStart w:id="1" w:name="_Toc401759948"/>
    </w:p>
    <w:p w:rsidR="00422FAC" w:rsidRDefault="00422FAC" w:rsidP="00422FAC">
      <w:r w:rsidRPr="00D358CA">
        <w:rPr>
          <w:color w:val="548DD4"/>
        </w:rPr>
        <w:t>Oprávnené aktivity</w:t>
      </w:r>
      <w:bookmarkStart w:id="2" w:name="_Toc401759949"/>
      <w:bookmarkEnd w:id="0"/>
      <w:bookmarkEnd w:id="1"/>
    </w:p>
    <w:p w:rsidR="00422FAC" w:rsidRPr="00D358CA" w:rsidRDefault="00422FAC" w:rsidP="00422FAC">
      <w:pPr>
        <w:rPr>
          <w:color w:val="548DD4"/>
          <w:szCs w:val="24"/>
        </w:rPr>
      </w:pPr>
      <w:r w:rsidRPr="00D358CA">
        <w:rPr>
          <w:i/>
          <w:color w:val="548DD4"/>
        </w:rPr>
        <w:t>Opis typu a príklady aktivít</w:t>
      </w:r>
      <w:bookmarkEnd w:id="2"/>
    </w:p>
    <w:p w:rsidR="00422FAC" w:rsidRPr="00516AE3" w:rsidRDefault="00422FAC" w:rsidP="00422FAC">
      <w:pPr>
        <w:pStyle w:val="SHNSRRodsek"/>
        <w:rPr>
          <w:i/>
          <w:szCs w:val="24"/>
        </w:rPr>
      </w:pPr>
      <w:r w:rsidRPr="00E60E5F">
        <w:rPr>
          <w:rFonts w:ascii="Times New Roman" w:hAnsi="Times New Roman" w:cs="Times New Roman"/>
          <w:bCs/>
          <w:sz w:val="24"/>
        </w:rPr>
        <w:t>Uvedený špecifický cieľ bude napĺňaný prostredníctvom podpory aktivít</w:t>
      </w:r>
      <w:r w:rsidRPr="00E60E5F">
        <w:rPr>
          <w:rFonts w:ascii="Times New Roman" w:hAnsi="Times New Roman" w:cs="Times New Roman"/>
          <w:bCs/>
          <w:sz w:val="24"/>
        </w:rPr>
        <w:footnoteReference w:id="1"/>
      </w:r>
      <w:r w:rsidRPr="00E60E5F">
        <w:rPr>
          <w:rFonts w:ascii="Times New Roman" w:hAnsi="Times New Roman" w:cs="Times New Roman"/>
          <w:bCs/>
          <w:sz w:val="24"/>
        </w:rPr>
        <w:t xml:space="preserve"> zameraných najmä na:</w:t>
      </w:r>
    </w:p>
    <w:p w:rsidR="00422FAC" w:rsidRPr="001D269A" w:rsidRDefault="00422FAC" w:rsidP="00422FAC">
      <w:pPr>
        <w:pStyle w:val="Odsekzoznamu"/>
        <w:numPr>
          <w:ilvl w:val="0"/>
          <w:numId w:val="2"/>
        </w:numPr>
        <w:tabs>
          <w:tab w:val="left" w:pos="426"/>
        </w:tabs>
        <w:ind w:left="426"/>
      </w:pPr>
      <w:r w:rsidRPr="001D269A">
        <w:lastRenderedPageBreak/>
        <w:t>Realizáci</w:t>
      </w:r>
      <w:r w:rsidR="00E9193F">
        <w:t>u</w:t>
      </w:r>
      <w:r w:rsidRPr="001D269A">
        <w:t xml:space="preserve"> </w:t>
      </w:r>
      <w:r w:rsidR="00E9193F">
        <w:t>komunikačného</w:t>
      </w:r>
      <w:r w:rsidRPr="001D269A">
        <w:t xml:space="preserve"> plánu </w:t>
      </w:r>
    </w:p>
    <w:p w:rsidR="00422FAC" w:rsidRPr="001D269A" w:rsidRDefault="00422FAC" w:rsidP="00422FAC">
      <w:pPr>
        <w:pStyle w:val="Odsekzoznamu"/>
        <w:numPr>
          <w:ilvl w:val="0"/>
          <w:numId w:val="2"/>
        </w:numPr>
        <w:tabs>
          <w:tab w:val="left" w:pos="426"/>
        </w:tabs>
        <w:ind w:left="426"/>
      </w:pPr>
      <w:r w:rsidRPr="001D269A">
        <w:t xml:space="preserve">Zabezpečenie výmeny informácií na úrovni subjektov zapojených do riadenia, monitorovania, hodnotenia, informovania a komunikácie, budovanie sietí, riešenia </w:t>
      </w:r>
      <w:r>
        <w:rPr>
          <w:szCs w:val="24"/>
        </w:rPr>
        <w:t>podaní a podnetov</w:t>
      </w:r>
      <w:r w:rsidRPr="002A1A5B">
        <w:rPr>
          <w:szCs w:val="24"/>
        </w:rPr>
        <w:t>,</w:t>
      </w:r>
      <w:r w:rsidRPr="001D269A">
        <w:t xml:space="preserve"> kontroly a auditu EŠIF </w:t>
      </w:r>
    </w:p>
    <w:p w:rsidR="00422FAC" w:rsidRPr="00DC1B2E" w:rsidRDefault="00422FAC" w:rsidP="00422FAC">
      <w:pPr>
        <w:numPr>
          <w:ilvl w:val="0"/>
          <w:numId w:val="3"/>
        </w:numPr>
        <w:spacing w:before="180"/>
        <w:rPr>
          <w:rFonts w:eastAsia="Times New Roman"/>
          <w:b/>
          <w:i/>
          <w:color w:val="548DD4"/>
          <w:sz w:val="22"/>
          <w:lang w:eastAsia="sk-SK"/>
        </w:rPr>
      </w:pPr>
      <w:r w:rsidRPr="00DC1B2E">
        <w:rPr>
          <w:rFonts w:eastAsia="Times New Roman"/>
          <w:b/>
          <w:i/>
          <w:color w:val="548DD4"/>
          <w:sz w:val="22"/>
          <w:lang w:eastAsia="sk-SK"/>
        </w:rPr>
        <w:t xml:space="preserve">Realizácia komunikačného plánu </w:t>
      </w:r>
    </w:p>
    <w:p w:rsidR="00422FAC" w:rsidRDefault="00422FAC" w:rsidP="00422FAC">
      <w:pPr>
        <w:rPr>
          <w:szCs w:val="24"/>
        </w:rPr>
      </w:pPr>
      <w:r w:rsidRPr="001D269A">
        <w:rPr>
          <w:szCs w:val="24"/>
        </w:rPr>
        <w:t xml:space="preserve">Cieľom </w:t>
      </w:r>
      <w:r>
        <w:rPr>
          <w:szCs w:val="24"/>
        </w:rPr>
        <w:t xml:space="preserve">bude pripraviť stratégiu komunikácie na národnej úrovni v </w:t>
      </w:r>
      <w:r w:rsidRPr="001D269A">
        <w:rPr>
          <w:szCs w:val="24"/>
        </w:rPr>
        <w:t xml:space="preserve">nadväznosti na výsledky Komunikačného plánu pre </w:t>
      </w:r>
      <w:r>
        <w:rPr>
          <w:szCs w:val="24"/>
        </w:rPr>
        <w:t xml:space="preserve">NSSR </w:t>
      </w:r>
      <w:r w:rsidRPr="001D269A">
        <w:rPr>
          <w:szCs w:val="24"/>
        </w:rPr>
        <w:t>200</w:t>
      </w:r>
      <w:r>
        <w:rPr>
          <w:szCs w:val="24"/>
        </w:rPr>
        <w:t>7</w:t>
      </w:r>
      <w:r w:rsidRPr="001D269A">
        <w:rPr>
          <w:szCs w:val="24"/>
        </w:rPr>
        <w:t>–</w:t>
      </w:r>
      <w:r>
        <w:rPr>
          <w:szCs w:val="24"/>
        </w:rPr>
        <w:t>2013</w:t>
      </w:r>
      <w:r w:rsidRPr="001D269A">
        <w:rPr>
          <w:szCs w:val="24"/>
        </w:rPr>
        <w:t xml:space="preserve"> </w:t>
      </w:r>
      <w:r>
        <w:rPr>
          <w:szCs w:val="24"/>
        </w:rPr>
        <w:t xml:space="preserve">a </w:t>
      </w:r>
      <w:r w:rsidRPr="001D269A">
        <w:rPr>
          <w:szCs w:val="24"/>
        </w:rPr>
        <w:t xml:space="preserve">z pohľadu výsledkov analýzy rozsahu a informovanosti cieľových skupín o dôležitých okruhoch komunikácie (cieľoch </w:t>
      </w:r>
      <w:r>
        <w:rPr>
          <w:szCs w:val="24"/>
        </w:rPr>
        <w:t>PD</w:t>
      </w:r>
      <w:r w:rsidRPr="001D269A">
        <w:rPr>
          <w:szCs w:val="24"/>
        </w:rPr>
        <w:t xml:space="preserve">, </w:t>
      </w:r>
      <w:r>
        <w:rPr>
          <w:szCs w:val="24"/>
        </w:rPr>
        <w:t>cieľoch OP, možnostiach využitia finančných nástrojov</w:t>
      </w:r>
      <w:r w:rsidRPr="001D269A">
        <w:rPr>
          <w:szCs w:val="24"/>
        </w:rPr>
        <w:t>) a z</w:t>
      </w:r>
      <w:r>
        <w:rPr>
          <w:szCs w:val="24"/>
        </w:rPr>
        <w:t>a</w:t>
      </w:r>
      <w:r w:rsidRPr="001D269A">
        <w:rPr>
          <w:szCs w:val="24"/>
        </w:rPr>
        <w:t xml:space="preserve"> stavu súčasného mediálneho prostredia, v rámci ktorého bude realizovaná </w:t>
      </w:r>
      <w:r>
        <w:rPr>
          <w:szCs w:val="24"/>
        </w:rPr>
        <w:t>informovanosť a komunikácia</w:t>
      </w:r>
    </w:p>
    <w:p w:rsidR="00422FAC" w:rsidRPr="00DC1B2E" w:rsidRDefault="00422FAC" w:rsidP="00422FAC">
      <w:pPr>
        <w:numPr>
          <w:ilvl w:val="0"/>
          <w:numId w:val="3"/>
        </w:numPr>
        <w:spacing w:before="180"/>
        <w:rPr>
          <w:rFonts w:eastAsia="Times New Roman"/>
          <w:b/>
          <w:i/>
          <w:color w:val="548DD4"/>
          <w:sz w:val="22"/>
          <w:lang w:eastAsia="sk-SK"/>
        </w:rPr>
      </w:pPr>
      <w:r w:rsidRPr="00DC1B2E">
        <w:rPr>
          <w:rFonts w:eastAsia="Times New Roman"/>
          <w:b/>
          <w:i/>
          <w:color w:val="548DD4"/>
          <w:sz w:val="22"/>
          <w:lang w:eastAsia="sk-SK"/>
        </w:rPr>
        <w:t>Zabezpečenie výmeny informácií na úrovni subjektov zapojených do riadenia, monitorovania, hodnotenia, informovania a komunikácie, budovanie sietí, riešenia podaní a podnetov</w:t>
      </w:r>
      <w:bookmarkStart w:id="3" w:name="_GoBack"/>
      <w:bookmarkEnd w:id="3"/>
      <w:r w:rsidRPr="00DC1B2E">
        <w:rPr>
          <w:rFonts w:eastAsia="Times New Roman"/>
          <w:b/>
          <w:i/>
          <w:color w:val="548DD4"/>
          <w:sz w:val="22"/>
          <w:lang w:eastAsia="sk-SK"/>
        </w:rPr>
        <w:t xml:space="preserve">, kontroly a auditu EŠIF </w:t>
      </w:r>
    </w:p>
    <w:p w:rsidR="00422FAC" w:rsidRDefault="00422FAC" w:rsidP="00422FAC">
      <w:pPr>
        <w:rPr>
          <w:szCs w:val="24"/>
        </w:rPr>
      </w:pPr>
      <w:r w:rsidRPr="0092720A">
        <w:rPr>
          <w:szCs w:val="24"/>
        </w:rPr>
        <w:t xml:space="preserve">Cieľom bude </w:t>
      </w:r>
      <w:r>
        <w:rPr>
          <w:szCs w:val="24"/>
        </w:rPr>
        <w:t xml:space="preserve">zabezpečenie výmeny informácií a ich komunikovanie prostredníctvom centrálneho registra ponaučení na národnej úrovni. Register ponaučení bude reprezentovať riešenia a prístup RO a SORO k jednotlivým fázam implementácie OP a riešenia problémových oblastí implementácie. CKO bude zabezpečovať monitorovanie registra ponaučení a na pravidelnej báze bude register aktualizovať a komunikovať prostredníctvom pracovných skupín. </w:t>
      </w:r>
    </w:p>
    <w:p w:rsidR="00F2777A" w:rsidRDefault="00422FAC" w:rsidP="00422FAC">
      <w:r>
        <w:rPr>
          <w:szCs w:val="24"/>
        </w:rPr>
        <w:t xml:space="preserve">Taktiež bude zabezpečená činnosť centra znalostí, ktorej cieľom je </w:t>
      </w:r>
      <w:r w:rsidRPr="00177ADA">
        <w:rPr>
          <w:szCs w:val="24"/>
        </w:rPr>
        <w:t>vytvorenie systému šírenia a výmeny informácií pre všetkých zamestnancov uplatňujúcich pravidlá štátnej pomoci spojené s implementáciou a kontrolou EŠIF (RO, sprostredkovateľské orgány, certifikačné orgány a orgány auditu; v prípade finančných nástrojov aj fond fondov a orgány, ktoré implementujú finančné nástroje). Úlohou centra znalostí je zabezpečenie šírenia informácií aj pre ostatných poskytovateľov štátnej pomoci, príjemcov a pre širokú verejnosť.</w:t>
      </w:r>
    </w:p>
    <w:sectPr w:rsidR="00F277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FAC" w:rsidRDefault="00422FAC" w:rsidP="00422FAC">
      <w:pPr>
        <w:spacing w:after="0"/>
      </w:pPr>
      <w:r>
        <w:separator/>
      </w:r>
    </w:p>
  </w:endnote>
  <w:endnote w:type="continuationSeparator" w:id="0">
    <w:p w:rsidR="00422FAC" w:rsidRDefault="00422FAC" w:rsidP="00422F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FAC" w:rsidRDefault="00422FAC" w:rsidP="00422FAC">
      <w:pPr>
        <w:spacing w:after="0"/>
      </w:pPr>
      <w:r>
        <w:separator/>
      </w:r>
    </w:p>
  </w:footnote>
  <w:footnote w:type="continuationSeparator" w:id="0">
    <w:p w:rsidR="00422FAC" w:rsidRDefault="00422FAC" w:rsidP="00422FAC">
      <w:pPr>
        <w:spacing w:after="0"/>
      </w:pPr>
      <w:r>
        <w:continuationSeparator/>
      </w:r>
    </w:p>
  </w:footnote>
  <w:footnote w:id="1">
    <w:p w:rsidR="00422FAC" w:rsidRDefault="00422FAC" w:rsidP="00422FAC">
      <w:pPr>
        <w:pStyle w:val="Textpoznmkypodiarou"/>
      </w:pPr>
      <w:r>
        <w:rPr>
          <w:rStyle w:val="Odkaznapoznmkupodiarou"/>
        </w:rPr>
        <w:footnoteRef/>
      </w:r>
      <w:r>
        <w:t xml:space="preserve"> </w:t>
      </w:r>
      <w:r w:rsidRPr="00354EFD">
        <w:rPr>
          <w:rFonts w:cs="Calibri"/>
          <w:sz w:val="16"/>
          <w:szCs w:val="16"/>
        </w:rPr>
        <w:t>V zmysle čl. 59 Nariadenia európskeho parlamentu a rady (EÚ) č. 1303/2013 sa príklady aktivít uvedené pre špecifický cieľ 2 prioritnej osi 1 môžu týkať predchádzajúcich a nasledujúcich programových období.</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4485A"/>
    <w:multiLevelType w:val="hybridMultilevel"/>
    <w:tmpl w:val="D3B8D4C0"/>
    <w:lvl w:ilvl="0" w:tplc="40321BA0">
      <w:start w:val="1"/>
      <w:numFmt w:val="upperLetter"/>
      <w:lvlText w:val="%1."/>
      <w:lvlJc w:val="left"/>
      <w:pPr>
        <w:ind w:left="360" w:hanging="360"/>
      </w:pPr>
      <w:rPr>
        <w:rFonts w:hint="default"/>
      </w:rPr>
    </w:lvl>
    <w:lvl w:ilvl="1" w:tplc="041B0019" w:tentative="1">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
    <w:nsid w:val="421571D3"/>
    <w:multiLevelType w:val="hybridMultilevel"/>
    <w:tmpl w:val="EA1CC73A"/>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FAC"/>
    <w:rsid w:val="00422FAC"/>
    <w:rsid w:val="009B2370"/>
    <w:rsid w:val="00E9193F"/>
    <w:rsid w:val="00F277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22FAC"/>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422FAC"/>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422FAC"/>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422FAC"/>
    <w:pPr>
      <w:ind w:left="720"/>
      <w:contextualSpacing/>
    </w:pPr>
  </w:style>
  <w:style w:type="character" w:customStyle="1" w:styleId="OdsekzoznamuChar">
    <w:name w:val="Odsek zoznamu Char"/>
    <w:aliases w:val="body Char,Odsek zoznamu2 Char,List Paragraph Char"/>
    <w:link w:val="Odsekzoznamu"/>
    <w:uiPriority w:val="34"/>
    <w:locked/>
    <w:rsid w:val="00422FAC"/>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422FAC"/>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422FAC"/>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422FAC"/>
    <w:rPr>
      <w:vertAlign w:val="superscript"/>
    </w:rPr>
  </w:style>
  <w:style w:type="paragraph" w:customStyle="1" w:styleId="SHNSRRodsek">
    <w:name w:val="SH_NSRR_odsek"/>
    <w:basedOn w:val="Normlny"/>
    <w:link w:val="SHNSRRodsekChar"/>
    <w:qFormat/>
    <w:rsid w:val="00422FAC"/>
    <w:pPr>
      <w:spacing w:before="240" w:after="240"/>
    </w:pPr>
    <w:rPr>
      <w:rFonts w:ascii="Trebuchet MS" w:eastAsia="Times New Roman" w:hAnsi="Trebuchet MS" w:cs="Calibri"/>
      <w:sz w:val="22"/>
    </w:rPr>
  </w:style>
  <w:style w:type="character" w:customStyle="1" w:styleId="SHNSRRodsekChar">
    <w:name w:val="SH_NSRR_odsek Char"/>
    <w:link w:val="SHNSRRodsek"/>
    <w:rsid w:val="00422FAC"/>
    <w:rPr>
      <w:rFonts w:ascii="Trebuchet MS" w:eastAsia="Times New Roman" w:hAnsi="Trebuchet MS"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22FAC"/>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422FAC"/>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422FAC"/>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422FAC"/>
    <w:pPr>
      <w:ind w:left="720"/>
      <w:contextualSpacing/>
    </w:pPr>
  </w:style>
  <w:style w:type="character" w:customStyle="1" w:styleId="OdsekzoznamuChar">
    <w:name w:val="Odsek zoznamu Char"/>
    <w:aliases w:val="body Char,Odsek zoznamu2 Char,List Paragraph Char"/>
    <w:link w:val="Odsekzoznamu"/>
    <w:uiPriority w:val="34"/>
    <w:locked/>
    <w:rsid w:val="00422FAC"/>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422FAC"/>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422FAC"/>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422FAC"/>
    <w:rPr>
      <w:vertAlign w:val="superscript"/>
    </w:rPr>
  </w:style>
  <w:style w:type="paragraph" w:customStyle="1" w:styleId="SHNSRRodsek">
    <w:name w:val="SH_NSRR_odsek"/>
    <w:basedOn w:val="Normlny"/>
    <w:link w:val="SHNSRRodsekChar"/>
    <w:qFormat/>
    <w:rsid w:val="00422FAC"/>
    <w:pPr>
      <w:spacing w:before="240" w:after="240"/>
    </w:pPr>
    <w:rPr>
      <w:rFonts w:ascii="Trebuchet MS" w:eastAsia="Times New Roman" w:hAnsi="Trebuchet MS" w:cs="Calibri"/>
      <w:sz w:val="22"/>
    </w:rPr>
  </w:style>
  <w:style w:type="character" w:customStyle="1" w:styleId="SHNSRRodsekChar">
    <w:name w:val="SH_NSRR_odsek Char"/>
    <w:link w:val="SHNSRRodsek"/>
    <w:rsid w:val="00422FAC"/>
    <w:rPr>
      <w:rFonts w:ascii="Trebuchet MS" w:eastAsia="Times New Roman" w:hAnsi="Trebuchet M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701</Words>
  <Characters>3999</Characters>
  <Application>Microsoft Office Word</Application>
  <DocSecurity>0</DocSecurity>
  <Lines>33</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Kopecká Monika</cp:lastModifiedBy>
  <cp:revision>2</cp:revision>
  <dcterms:created xsi:type="dcterms:W3CDTF">2014-11-18T19:30:00Z</dcterms:created>
  <dcterms:modified xsi:type="dcterms:W3CDTF">2014-11-25T10:27:00Z</dcterms:modified>
</cp:coreProperties>
</file>