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2419" w:rsidRDefault="00B02419" w:rsidP="00B02419">
      <w:pPr>
        <w:pStyle w:val="Nadpis2"/>
      </w:pPr>
      <w:r>
        <w:t xml:space="preserve">Príloha č. 1 </w:t>
      </w:r>
      <w:bookmarkStart w:id="0" w:name="_GoBack"/>
      <w:bookmarkEnd w:id="0"/>
      <w:r w:rsidRPr="00DC1664">
        <w:t>Identifikované disparity</w:t>
      </w:r>
      <w:r w:rsidRPr="00DC1664">
        <w:rPr>
          <w:vertAlign w:val="superscript"/>
        </w:rPr>
        <w:endnoteReference w:id="1"/>
      </w:r>
    </w:p>
    <w:p w:rsidR="00B02419" w:rsidRDefault="00B02419" w:rsidP="00B02419"/>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221"/>
      </w:tblGrid>
      <w:tr w:rsidR="00B02419" w:rsidRPr="002C0044" w:rsidTr="00412E25">
        <w:tc>
          <w:tcPr>
            <w:tcW w:w="993" w:type="dxa"/>
            <w:shd w:val="clear" w:color="auto" w:fill="C6D9F1"/>
            <w:vAlign w:val="center"/>
          </w:tcPr>
          <w:p w:rsidR="00B02419" w:rsidRPr="00EE383B" w:rsidRDefault="00B02419" w:rsidP="00412E25">
            <w:pPr>
              <w:jc w:val="center"/>
              <w:rPr>
                <w:rFonts w:eastAsia="Times New Roman"/>
                <w:b/>
                <w:bCs/>
                <w:sz w:val="20"/>
                <w:szCs w:val="20"/>
              </w:rPr>
            </w:pPr>
            <w:proofErr w:type="spellStart"/>
            <w:r w:rsidRPr="00EE383B">
              <w:rPr>
                <w:rFonts w:eastAsia="Times New Roman"/>
                <w:b/>
                <w:bCs/>
                <w:sz w:val="20"/>
                <w:szCs w:val="20"/>
              </w:rPr>
              <w:t>P.č</w:t>
            </w:r>
            <w:proofErr w:type="spellEnd"/>
            <w:r w:rsidRPr="00EE383B">
              <w:rPr>
                <w:rFonts w:eastAsia="Times New Roman"/>
                <w:b/>
                <w:bCs/>
                <w:sz w:val="20"/>
                <w:szCs w:val="20"/>
              </w:rPr>
              <w:t>.</w:t>
            </w:r>
          </w:p>
        </w:tc>
        <w:tc>
          <w:tcPr>
            <w:tcW w:w="8221" w:type="dxa"/>
            <w:shd w:val="clear" w:color="auto" w:fill="C6D9F1"/>
            <w:vAlign w:val="center"/>
          </w:tcPr>
          <w:p w:rsidR="00B02419" w:rsidRPr="00EE383B" w:rsidRDefault="00B02419" w:rsidP="00412E25">
            <w:pPr>
              <w:jc w:val="left"/>
              <w:rPr>
                <w:rFonts w:eastAsia="Times New Roman"/>
                <w:b/>
                <w:bCs/>
                <w:sz w:val="20"/>
                <w:szCs w:val="20"/>
              </w:rPr>
            </w:pPr>
            <w:r w:rsidRPr="00EE383B">
              <w:rPr>
                <w:rFonts w:eastAsia="Times New Roman"/>
                <w:b/>
                <w:bCs/>
                <w:sz w:val="20"/>
                <w:szCs w:val="20"/>
              </w:rPr>
              <w:t>Identifikované disparity</w:t>
            </w:r>
          </w:p>
        </w:tc>
      </w:tr>
      <w:tr w:rsidR="00B02419" w:rsidRPr="002C0044" w:rsidTr="00412E25">
        <w:tc>
          <w:tcPr>
            <w:tcW w:w="993" w:type="dxa"/>
            <w:shd w:val="clear" w:color="auto" w:fill="auto"/>
          </w:tcPr>
          <w:p w:rsidR="00B02419" w:rsidRPr="00EE383B" w:rsidRDefault="00B02419" w:rsidP="00B02419">
            <w:pPr>
              <w:pStyle w:val="Odsekzoznamu"/>
              <w:numPr>
                <w:ilvl w:val="0"/>
                <w:numId w:val="2"/>
              </w:numPr>
              <w:rPr>
                <w:rFonts w:eastAsia="Times New Roman"/>
                <w:bCs/>
                <w:sz w:val="20"/>
                <w:szCs w:val="20"/>
              </w:rPr>
            </w:pPr>
          </w:p>
        </w:tc>
        <w:tc>
          <w:tcPr>
            <w:tcW w:w="8221" w:type="dxa"/>
            <w:shd w:val="clear" w:color="auto" w:fill="C6D9F1"/>
          </w:tcPr>
          <w:p w:rsidR="00B02419" w:rsidRPr="00EE383B" w:rsidRDefault="00B02419" w:rsidP="00412E25">
            <w:pPr>
              <w:rPr>
                <w:rFonts w:eastAsia="Times New Roman"/>
                <w:bCs/>
                <w:sz w:val="20"/>
                <w:szCs w:val="20"/>
              </w:rPr>
            </w:pPr>
            <w:r w:rsidRPr="00EE383B">
              <w:rPr>
                <w:rFonts w:eastAsia="Times New Roman"/>
                <w:bCs/>
                <w:sz w:val="20"/>
                <w:szCs w:val="20"/>
              </w:rPr>
              <w:t xml:space="preserve">Nedostatok kvalitných AK a nedostatočný systém riadenia a rozvoja ľudských zdrojov zabezpečujúcich realizáciu PO </w:t>
            </w:r>
          </w:p>
        </w:tc>
      </w:tr>
      <w:tr w:rsidR="00B02419" w:rsidRPr="002C0044" w:rsidTr="00412E25">
        <w:tc>
          <w:tcPr>
            <w:tcW w:w="993" w:type="dxa"/>
            <w:shd w:val="clear" w:color="auto" w:fill="auto"/>
          </w:tcPr>
          <w:p w:rsidR="00B02419" w:rsidRPr="00EE383B" w:rsidRDefault="00B02419" w:rsidP="00B02419">
            <w:pPr>
              <w:pStyle w:val="Odsekzoznamu"/>
              <w:numPr>
                <w:ilvl w:val="0"/>
                <w:numId w:val="2"/>
              </w:numPr>
              <w:rPr>
                <w:rFonts w:eastAsia="Times New Roman"/>
                <w:bCs/>
                <w:sz w:val="20"/>
                <w:szCs w:val="20"/>
              </w:rPr>
            </w:pPr>
          </w:p>
        </w:tc>
        <w:tc>
          <w:tcPr>
            <w:tcW w:w="8221" w:type="dxa"/>
            <w:shd w:val="clear" w:color="auto" w:fill="C6D9F1"/>
          </w:tcPr>
          <w:p w:rsidR="00B02419" w:rsidRPr="00EE383B" w:rsidRDefault="00B02419" w:rsidP="00412E25">
            <w:pPr>
              <w:rPr>
                <w:rFonts w:eastAsia="Times New Roman"/>
                <w:bCs/>
                <w:sz w:val="20"/>
                <w:szCs w:val="20"/>
              </w:rPr>
            </w:pPr>
            <w:r w:rsidRPr="00EE383B">
              <w:rPr>
                <w:rFonts w:eastAsia="Times New Roman"/>
                <w:bCs/>
                <w:sz w:val="20"/>
                <w:szCs w:val="20"/>
              </w:rPr>
              <w:t>Nedostatočne stanovené počty zamestnancov RO, SORO, OA</w:t>
            </w:r>
          </w:p>
        </w:tc>
      </w:tr>
      <w:tr w:rsidR="00B02419" w:rsidRPr="002C0044" w:rsidTr="00412E25">
        <w:tc>
          <w:tcPr>
            <w:tcW w:w="993" w:type="dxa"/>
            <w:shd w:val="clear" w:color="auto" w:fill="auto"/>
          </w:tcPr>
          <w:p w:rsidR="00B02419" w:rsidRPr="00EE383B" w:rsidRDefault="00B02419" w:rsidP="00B02419">
            <w:pPr>
              <w:pStyle w:val="Odsekzoznamu"/>
              <w:numPr>
                <w:ilvl w:val="0"/>
                <w:numId w:val="2"/>
              </w:numPr>
              <w:rPr>
                <w:rFonts w:eastAsia="Times New Roman"/>
                <w:bCs/>
                <w:sz w:val="20"/>
                <w:szCs w:val="20"/>
              </w:rPr>
            </w:pPr>
          </w:p>
        </w:tc>
        <w:tc>
          <w:tcPr>
            <w:tcW w:w="8221" w:type="dxa"/>
            <w:shd w:val="clear" w:color="auto" w:fill="C6D9F1"/>
          </w:tcPr>
          <w:p w:rsidR="00B02419" w:rsidRPr="00EE383B" w:rsidRDefault="00B02419" w:rsidP="00412E25">
            <w:pPr>
              <w:rPr>
                <w:rFonts w:eastAsia="Times New Roman"/>
                <w:bCs/>
                <w:sz w:val="20"/>
                <w:szCs w:val="20"/>
              </w:rPr>
            </w:pPr>
            <w:r w:rsidRPr="00EE383B">
              <w:rPr>
                <w:rFonts w:eastAsia="Times New Roman"/>
                <w:bCs/>
                <w:sz w:val="20"/>
                <w:szCs w:val="20"/>
              </w:rPr>
              <w:t xml:space="preserve">Vysoká fluktuácia zamestnancov RO, SORO, CKO, OA </w:t>
            </w:r>
          </w:p>
        </w:tc>
      </w:tr>
      <w:tr w:rsidR="00B02419" w:rsidRPr="002C0044" w:rsidTr="00412E25">
        <w:tc>
          <w:tcPr>
            <w:tcW w:w="993" w:type="dxa"/>
            <w:shd w:val="clear" w:color="auto" w:fill="auto"/>
          </w:tcPr>
          <w:p w:rsidR="00B02419" w:rsidRPr="00EE383B" w:rsidRDefault="00B02419" w:rsidP="00B02419">
            <w:pPr>
              <w:pStyle w:val="Odsekzoznamu"/>
              <w:numPr>
                <w:ilvl w:val="0"/>
                <w:numId w:val="2"/>
              </w:numPr>
              <w:rPr>
                <w:rFonts w:eastAsia="Times New Roman"/>
                <w:bCs/>
                <w:sz w:val="20"/>
                <w:szCs w:val="20"/>
              </w:rPr>
            </w:pPr>
          </w:p>
        </w:tc>
        <w:tc>
          <w:tcPr>
            <w:tcW w:w="8221" w:type="dxa"/>
            <w:shd w:val="clear" w:color="auto" w:fill="C6D9F1"/>
          </w:tcPr>
          <w:p w:rsidR="00B02419" w:rsidRPr="00EE383B" w:rsidRDefault="00B02419" w:rsidP="00412E25">
            <w:pPr>
              <w:rPr>
                <w:rFonts w:eastAsia="Times New Roman"/>
                <w:bCs/>
                <w:sz w:val="20"/>
                <w:szCs w:val="20"/>
              </w:rPr>
            </w:pPr>
            <w:r w:rsidRPr="00EE383B">
              <w:rPr>
                <w:rFonts w:eastAsia="Times New Roman"/>
                <w:bCs/>
                <w:sz w:val="20"/>
                <w:szCs w:val="20"/>
              </w:rPr>
              <w:t xml:space="preserve">Vysoké pracovné zaťaženie a kumulácia funkcií v rámci jednej pracovnej pozície </w:t>
            </w:r>
          </w:p>
        </w:tc>
      </w:tr>
      <w:tr w:rsidR="00B02419" w:rsidRPr="002C0044" w:rsidTr="00412E25">
        <w:tc>
          <w:tcPr>
            <w:tcW w:w="993" w:type="dxa"/>
            <w:shd w:val="clear" w:color="auto" w:fill="auto"/>
          </w:tcPr>
          <w:p w:rsidR="00B02419" w:rsidRPr="00EE383B" w:rsidRDefault="00B02419" w:rsidP="00B02419">
            <w:pPr>
              <w:pStyle w:val="Odsekzoznamu"/>
              <w:numPr>
                <w:ilvl w:val="0"/>
                <w:numId w:val="2"/>
              </w:numPr>
              <w:rPr>
                <w:rFonts w:eastAsia="Times New Roman"/>
                <w:bCs/>
                <w:sz w:val="20"/>
                <w:szCs w:val="20"/>
              </w:rPr>
            </w:pPr>
          </w:p>
        </w:tc>
        <w:tc>
          <w:tcPr>
            <w:tcW w:w="8221" w:type="dxa"/>
            <w:shd w:val="clear" w:color="auto" w:fill="C6D9F1"/>
          </w:tcPr>
          <w:p w:rsidR="00B02419" w:rsidRPr="00EE383B" w:rsidRDefault="00B02419" w:rsidP="00412E25">
            <w:pPr>
              <w:rPr>
                <w:rFonts w:eastAsia="Times New Roman"/>
                <w:bCs/>
                <w:sz w:val="20"/>
                <w:szCs w:val="20"/>
              </w:rPr>
            </w:pPr>
            <w:r w:rsidRPr="00EE383B">
              <w:rPr>
                <w:rFonts w:eastAsia="Times New Roman"/>
                <w:bCs/>
                <w:sz w:val="20"/>
                <w:szCs w:val="20"/>
              </w:rPr>
              <w:t>Subjektívny systém hodnotenia zamestnancov RO, SORO</w:t>
            </w:r>
          </w:p>
        </w:tc>
      </w:tr>
      <w:tr w:rsidR="00B02419" w:rsidRPr="002C0044" w:rsidTr="00412E25">
        <w:tc>
          <w:tcPr>
            <w:tcW w:w="993" w:type="dxa"/>
            <w:shd w:val="clear" w:color="auto" w:fill="auto"/>
          </w:tcPr>
          <w:p w:rsidR="00B02419" w:rsidRPr="00EE383B" w:rsidRDefault="00B02419" w:rsidP="00B02419">
            <w:pPr>
              <w:pStyle w:val="Odsekzoznamu"/>
              <w:numPr>
                <w:ilvl w:val="0"/>
                <w:numId w:val="2"/>
              </w:numPr>
              <w:rPr>
                <w:rFonts w:eastAsia="Times New Roman"/>
                <w:bCs/>
                <w:sz w:val="20"/>
                <w:szCs w:val="20"/>
              </w:rPr>
            </w:pPr>
          </w:p>
        </w:tc>
        <w:tc>
          <w:tcPr>
            <w:tcW w:w="8221" w:type="dxa"/>
            <w:shd w:val="clear" w:color="auto" w:fill="C6D9F1"/>
          </w:tcPr>
          <w:p w:rsidR="00B02419" w:rsidRPr="00EE383B" w:rsidRDefault="00B02419" w:rsidP="00412E25">
            <w:pPr>
              <w:rPr>
                <w:rFonts w:eastAsia="Times New Roman"/>
                <w:bCs/>
                <w:sz w:val="20"/>
                <w:szCs w:val="20"/>
              </w:rPr>
            </w:pPr>
            <w:r w:rsidRPr="00EE383B">
              <w:rPr>
                <w:rFonts w:eastAsia="Times New Roman"/>
                <w:bCs/>
                <w:sz w:val="20"/>
                <w:szCs w:val="20"/>
              </w:rPr>
              <w:t xml:space="preserve">Nedostatočné legislatívne opatrenia na eliminovanie zmien spôsobených politickým cyklom </w:t>
            </w:r>
          </w:p>
        </w:tc>
      </w:tr>
      <w:tr w:rsidR="00B02419" w:rsidRPr="002C0044" w:rsidTr="00412E25">
        <w:tc>
          <w:tcPr>
            <w:tcW w:w="993" w:type="dxa"/>
            <w:shd w:val="clear" w:color="auto" w:fill="auto"/>
          </w:tcPr>
          <w:p w:rsidR="00B02419" w:rsidRPr="00EE383B" w:rsidRDefault="00B02419" w:rsidP="00B02419">
            <w:pPr>
              <w:pStyle w:val="Odsekzoznamu"/>
              <w:numPr>
                <w:ilvl w:val="0"/>
                <w:numId w:val="2"/>
              </w:numPr>
              <w:rPr>
                <w:rFonts w:eastAsia="Times New Roman"/>
                <w:bCs/>
                <w:sz w:val="20"/>
                <w:szCs w:val="20"/>
              </w:rPr>
            </w:pPr>
          </w:p>
        </w:tc>
        <w:tc>
          <w:tcPr>
            <w:tcW w:w="8221" w:type="dxa"/>
            <w:shd w:val="clear" w:color="auto" w:fill="C6D9F1"/>
          </w:tcPr>
          <w:p w:rsidR="00B02419" w:rsidRPr="00EE383B" w:rsidRDefault="00B02419" w:rsidP="00412E25">
            <w:pPr>
              <w:rPr>
                <w:rFonts w:eastAsia="Times New Roman"/>
                <w:bCs/>
                <w:sz w:val="20"/>
                <w:szCs w:val="20"/>
              </w:rPr>
            </w:pPr>
            <w:r w:rsidRPr="00EE383B">
              <w:rPr>
                <w:rFonts w:eastAsia="Times New Roman"/>
                <w:bCs/>
                <w:sz w:val="20"/>
                <w:szCs w:val="20"/>
              </w:rPr>
              <w:t>Vnímanie vysokej miery korupcie pri riadení, schvaľovaní projektov a </w:t>
            </w:r>
            <w:proofErr w:type="spellStart"/>
            <w:r w:rsidRPr="00EE383B">
              <w:rPr>
                <w:rFonts w:eastAsia="Times New Roman"/>
                <w:bCs/>
                <w:sz w:val="20"/>
                <w:szCs w:val="20"/>
              </w:rPr>
              <w:t>netransparentnosť</w:t>
            </w:r>
            <w:proofErr w:type="spellEnd"/>
            <w:r w:rsidRPr="00EE383B">
              <w:rPr>
                <w:rFonts w:eastAsia="Times New Roman"/>
                <w:bCs/>
                <w:sz w:val="20"/>
                <w:szCs w:val="20"/>
              </w:rPr>
              <w:t xml:space="preserve"> vo verejnom obstarávaní a postupov kontroly, nízka efektivita kontroly verejných obstarávaní znižujúca absorpčnú schopnosť operačných programov</w:t>
            </w:r>
          </w:p>
        </w:tc>
      </w:tr>
      <w:tr w:rsidR="00B02419" w:rsidRPr="002C0044" w:rsidTr="00412E25">
        <w:tc>
          <w:tcPr>
            <w:tcW w:w="993" w:type="dxa"/>
            <w:shd w:val="clear" w:color="auto" w:fill="auto"/>
          </w:tcPr>
          <w:p w:rsidR="00B02419" w:rsidRPr="00EE383B" w:rsidRDefault="00B02419" w:rsidP="00B02419">
            <w:pPr>
              <w:pStyle w:val="Odsekzoznamu"/>
              <w:numPr>
                <w:ilvl w:val="0"/>
                <w:numId w:val="2"/>
              </w:numPr>
              <w:rPr>
                <w:rFonts w:eastAsia="Times New Roman"/>
                <w:bCs/>
                <w:sz w:val="20"/>
                <w:szCs w:val="20"/>
              </w:rPr>
            </w:pPr>
          </w:p>
        </w:tc>
        <w:tc>
          <w:tcPr>
            <w:tcW w:w="8221" w:type="dxa"/>
            <w:shd w:val="clear" w:color="auto" w:fill="C6D9F1"/>
          </w:tcPr>
          <w:p w:rsidR="00B02419" w:rsidRPr="00EE383B" w:rsidRDefault="00B02419" w:rsidP="00412E25">
            <w:pPr>
              <w:tabs>
                <w:tab w:val="left" w:pos="975"/>
              </w:tabs>
              <w:rPr>
                <w:rFonts w:eastAsia="Times New Roman"/>
                <w:bCs/>
                <w:sz w:val="20"/>
                <w:szCs w:val="20"/>
              </w:rPr>
            </w:pPr>
            <w:r w:rsidRPr="00EE383B">
              <w:rPr>
                <w:rFonts w:eastAsia="Times New Roman"/>
                <w:bCs/>
                <w:sz w:val="20"/>
                <w:szCs w:val="20"/>
              </w:rPr>
              <w:t>Nevýrazná koordinačná činnosť CKO, absencia aktívnej koordinácie implementácie, ktorá by mohla reálne ovplyvniť kvalitu implementácie</w:t>
            </w:r>
          </w:p>
        </w:tc>
      </w:tr>
      <w:tr w:rsidR="00B02419" w:rsidRPr="002C0044" w:rsidTr="00412E25">
        <w:tc>
          <w:tcPr>
            <w:tcW w:w="993" w:type="dxa"/>
            <w:shd w:val="clear" w:color="auto" w:fill="auto"/>
          </w:tcPr>
          <w:p w:rsidR="00B02419" w:rsidRPr="00EE383B" w:rsidRDefault="00B02419" w:rsidP="00B02419">
            <w:pPr>
              <w:pStyle w:val="Odsekzoznamu"/>
              <w:numPr>
                <w:ilvl w:val="0"/>
                <w:numId w:val="2"/>
              </w:numPr>
              <w:rPr>
                <w:rFonts w:eastAsia="Times New Roman"/>
                <w:bCs/>
                <w:sz w:val="20"/>
                <w:szCs w:val="20"/>
              </w:rPr>
            </w:pPr>
          </w:p>
        </w:tc>
        <w:tc>
          <w:tcPr>
            <w:tcW w:w="8221" w:type="dxa"/>
            <w:shd w:val="clear" w:color="auto" w:fill="C6D9F1"/>
          </w:tcPr>
          <w:p w:rsidR="00B02419" w:rsidRPr="00EE383B" w:rsidRDefault="00B02419" w:rsidP="00412E25">
            <w:pPr>
              <w:rPr>
                <w:rFonts w:eastAsia="Times New Roman"/>
                <w:bCs/>
                <w:sz w:val="20"/>
                <w:szCs w:val="20"/>
              </w:rPr>
            </w:pPr>
            <w:r w:rsidRPr="00EE383B">
              <w:rPr>
                <w:rFonts w:eastAsia="Times New Roman"/>
                <w:bCs/>
                <w:sz w:val="20"/>
                <w:szCs w:val="20"/>
              </w:rPr>
              <w:t>Nedostatočný systém hodnotenia a slabá informovanosť o praktickom využití hodnotenia a inovatívnych foriem hodnotenie, absencia vhodného rámca pre výkon hodnotenia.</w:t>
            </w:r>
          </w:p>
        </w:tc>
      </w:tr>
      <w:tr w:rsidR="00B02419" w:rsidRPr="002C0044" w:rsidTr="00412E25">
        <w:tc>
          <w:tcPr>
            <w:tcW w:w="993" w:type="dxa"/>
            <w:shd w:val="clear" w:color="auto" w:fill="auto"/>
          </w:tcPr>
          <w:p w:rsidR="00B02419" w:rsidRPr="00EE383B" w:rsidRDefault="00B02419" w:rsidP="00B02419">
            <w:pPr>
              <w:pStyle w:val="Odsekzoznamu"/>
              <w:numPr>
                <w:ilvl w:val="0"/>
                <w:numId w:val="2"/>
              </w:numPr>
              <w:rPr>
                <w:rFonts w:eastAsia="Times New Roman"/>
                <w:bCs/>
                <w:sz w:val="20"/>
                <w:szCs w:val="20"/>
              </w:rPr>
            </w:pPr>
          </w:p>
        </w:tc>
        <w:tc>
          <w:tcPr>
            <w:tcW w:w="8221" w:type="dxa"/>
            <w:shd w:val="clear" w:color="auto" w:fill="C6D9F1"/>
          </w:tcPr>
          <w:p w:rsidR="00B02419" w:rsidRPr="00EE383B" w:rsidRDefault="00B02419" w:rsidP="00412E25">
            <w:pPr>
              <w:rPr>
                <w:rFonts w:eastAsia="Times New Roman"/>
                <w:bCs/>
                <w:sz w:val="20"/>
                <w:szCs w:val="20"/>
              </w:rPr>
            </w:pPr>
            <w:r w:rsidRPr="00EE383B">
              <w:rPr>
                <w:rFonts w:eastAsia="Times New Roman"/>
                <w:bCs/>
                <w:sz w:val="20"/>
                <w:szCs w:val="20"/>
              </w:rPr>
              <w:t>Časté pozastavenie platieb zo strany EK v jednotlivých OP z dôvodu vysokej miery chybovosti, auditných zistení, kvality vykonávaných činností, neoprávnených výdavkov</w:t>
            </w:r>
          </w:p>
        </w:tc>
      </w:tr>
      <w:tr w:rsidR="00B02419" w:rsidRPr="002C0044" w:rsidTr="00412E25">
        <w:tc>
          <w:tcPr>
            <w:tcW w:w="993" w:type="dxa"/>
            <w:shd w:val="clear" w:color="auto" w:fill="auto"/>
          </w:tcPr>
          <w:p w:rsidR="00B02419" w:rsidRPr="00EE383B" w:rsidRDefault="00B02419" w:rsidP="00B02419">
            <w:pPr>
              <w:pStyle w:val="Odsekzoznamu"/>
              <w:numPr>
                <w:ilvl w:val="0"/>
                <w:numId w:val="2"/>
              </w:numPr>
              <w:rPr>
                <w:rFonts w:eastAsia="Times New Roman"/>
                <w:bCs/>
                <w:sz w:val="20"/>
                <w:szCs w:val="20"/>
              </w:rPr>
            </w:pPr>
          </w:p>
        </w:tc>
        <w:tc>
          <w:tcPr>
            <w:tcW w:w="8221" w:type="dxa"/>
            <w:shd w:val="clear" w:color="auto" w:fill="C6D9F1"/>
          </w:tcPr>
          <w:p w:rsidR="00B02419" w:rsidRPr="00EE383B" w:rsidRDefault="00B02419" w:rsidP="00412E25">
            <w:pPr>
              <w:rPr>
                <w:rFonts w:eastAsia="Times New Roman"/>
                <w:bCs/>
                <w:sz w:val="20"/>
                <w:szCs w:val="20"/>
              </w:rPr>
            </w:pPr>
            <w:r w:rsidRPr="00EE383B">
              <w:rPr>
                <w:rFonts w:eastAsia="Times New Roman"/>
                <w:bCs/>
                <w:sz w:val="20"/>
                <w:szCs w:val="20"/>
              </w:rPr>
              <w:t xml:space="preserve">Slabá atraktivita a dostupnosť pomoci z fondov, neprehľadnosť štruktúry informácií, nejasnosť, nepresnosť, nedostupnosť kvalifikovaného poradenstva v rámci celej SR, administratívna náročnosť </w:t>
            </w:r>
          </w:p>
        </w:tc>
      </w:tr>
      <w:tr w:rsidR="00B02419" w:rsidRPr="002C0044" w:rsidTr="00412E25">
        <w:tc>
          <w:tcPr>
            <w:tcW w:w="993" w:type="dxa"/>
            <w:shd w:val="clear" w:color="auto" w:fill="auto"/>
          </w:tcPr>
          <w:p w:rsidR="00B02419" w:rsidRPr="00EE383B" w:rsidRDefault="00B02419" w:rsidP="00B02419">
            <w:pPr>
              <w:pStyle w:val="Odsekzoznamu"/>
              <w:numPr>
                <w:ilvl w:val="0"/>
                <w:numId w:val="2"/>
              </w:numPr>
              <w:rPr>
                <w:rFonts w:eastAsia="Times New Roman"/>
                <w:bCs/>
                <w:sz w:val="20"/>
                <w:szCs w:val="20"/>
              </w:rPr>
            </w:pPr>
          </w:p>
        </w:tc>
        <w:tc>
          <w:tcPr>
            <w:tcW w:w="8221" w:type="dxa"/>
            <w:shd w:val="clear" w:color="auto" w:fill="C6D9F1"/>
          </w:tcPr>
          <w:p w:rsidR="00B02419" w:rsidRPr="00EE383B" w:rsidRDefault="00B02419" w:rsidP="00412E25">
            <w:pPr>
              <w:rPr>
                <w:rFonts w:eastAsia="Times New Roman"/>
                <w:bCs/>
                <w:sz w:val="20"/>
                <w:szCs w:val="20"/>
              </w:rPr>
            </w:pPr>
            <w:r w:rsidRPr="00EE383B">
              <w:rPr>
                <w:rFonts w:eastAsia="Times New Roman"/>
                <w:bCs/>
                <w:sz w:val="20"/>
                <w:szCs w:val="20"/>
              </w:rPr>
              <w:t xml:space="preserve">Neexistujúca platforma </w:t>
            </w:r>
            <w:proofErr w:type="spellStart"/>
            <w:r w:rsidRPr="00EE383B">
              <w:rPr>
                <w:rFonts w:eastAsia="Times New Roman"/>
                <w:bCs/>
                <w:sz w:val="20"/>
                <w:szCs w:val="20"/>
              </w:rPr>
              <w:t>eKohézie</w:t>
            </w:r>
            <w:proofErr w:type="spellEnd"/>
            <w:r w:rsidRPr="00EE383B">
              <w:rPr>
                <w:rFonts w:eastAsia="Times New Roman"/>
                <w:bCs/>
                <w:sz w:val="20"/>
                <w:szCs w:val="20"/>
              </w:rPr>
              <w:t xml:space="preserve"> pre operačné programy </w:t>
            </w:r>
          </w:p>
        </w:tc>
      </w:tr>
      <w:tr w:rsidR="00B02419" w:rsidRPr="002C0044" w:rsidTr="00412E25">
        <w:tc>
          <w:tcPr>
            <w:tcW w:w="993" w:type="dxa"/>
            <w:shd w:val="clear" w:color="auto" w:fill="auto"/>
          </w:tcPr>
          <w:p w:rsidR="00B02419" w:rsidRPr="00EE383B" w:rsidRDefault="00B02419" w:rsidP="00B02419">
            <w:pPr>
              <w:pStyle w:val="Odsekzoznamu"/>
              <w:numPr>
                <w:ilvl w:val="0"/>
                <w:numId w:val="2"/>
              </w:numPr>
              <w:rPr>
                <w:rFonts w:eastAsia="Times New Roman"/>
                <w:bCs/>
                <w:sz w:val="20"/>
                <w:szCs w:val="20"/>
              </w:rPr>
            </w:pPr>
          </w:p>
        </w:tc>
        <w:tc>
          <w:tcPr>
            <w:tcW w:w="8221" w:type="dxa"/>
            <w:shd w:val="clear" w:color="auto" w:fill="C6D9F1"/>
          </w:tcPr>
          <w:p w:rsidR="00B02419" w:rsidRPr="00EE383B" w:rsidRDefault="00B02419" w:rsidP="00412E25">
            <w:pPr>
              <w:rPr>
                <w:rFonts w:eastAsia="Times New Roman"/>
                <w:bCs/>
                <w:sz w:val="20"/>
                <w:szCs w:val="20"/>
              </w:rPr>
            </w:pPr>
            <w:r w:rsidRPr="00EE383B">
              <w:rPr>
                <w:rFonts w:eastAsia="Times New Roman"/>
                <w:bCs/>
                <w:sz w:val="20"/>
                <w:szCs w:val="20"/>
              </w:rPr>
              <w:t>Nedostatočné využívanie kvalitnej a kompatibilnej systémovej podpory medzi partnermi zapojenými do realizácie OP </w:t>
            </w:r>
          </w:p>
        </w:tc>
      </w:tr>
      <w:tr w:rsidR="00B02419" w:rsidRPr="002C0044" w:rsidTr="00412E25">
        <w:tc>
          <w:tcPr>
            <w:tcW w:w="993" w:type="dxa"/>
            <w:shd w:val="clear" w:color="auto" w:fill="auto"/>
          </w:tcPr>
          <w:p w:rsidR="00B02419" w:rsidRPr="00EE383B" w:rsidRDefault="00B02419" w:rsidP="00B02419">
            <w:pPr>
              <w:pStyle w:val="Odsekzoznamu"/>
              <w:numPr>
                <w:ilvl w:val="0"/>
                <w:numId w:val="2"/>
              </w:numPr>
              <w:rPr>
                <w:rFonts w:eastAsia="Times New Roman"/>
                <w:bCs/>
                <w:sz w:val="20"/>
                <w:szCs w:val="20"/>
              </w:rPr>
            </w:pPr>
          </w:p>
        </w:tc>
        <w:tc>
          <w:tcPr>
            <w:tcW w:w="8221" w:type="dxa"/>
            <w:shd w:val="clear" w:color="auto" w:fill="C6D9F1"/>
          </w:tcPr>
          <w:p w:rsidR="00B02419" w:rsidRPr="00EE383B" w:rsidRDefault="00B02419" w:rsidP="00412E25">
            <w:pPr>
              <w:rPr>
                <w:rFonts w:eastAsia="Times New Roman"/>
                <w:bCs/>
                <w:sz w:val="20"/>
                <w:szCs w:val="20"/>
              </w:rPr>
            </w:pPr>
            <w:r w:rsidRPr="00EE383B">
              <w:rPr>
                <w:rFonts w:eastAsia="Times New Roman"/>
                <w:bCs/>
                <w:sz w:val="20"/>
                <w:szCs w:val="20"/>
              </w:rPr>
              <w:t xml:space="preserve">Nedostatočný systém poskytovania pomoci potenciálnym prijímateľom a využívania dobrej praxe v oblastiach, ktoré trpia nedostatkom kapacít </w:t>
            </w:r>
          </w:p>
        </w:tc>
      </w:tr>
      <w:tr w:rsidR="00B02419" w:rsidRPr="002C0044" w:rsidTr="00412E25">
        <w:tc>
          <w:tcPr>
            <w:tcW w:w="993" w:type="dxa"/>
            <w:shd w:val="clear" w:color="auto" w:fill="auto"/>
          </w:tcPr>
          <w:p w:rsidR="00B02419" w:rsidRPr="00EE383B" w:rsidRDefault="00B02419" w:rsidP="00B02419">
            <w:pPr>
              <w:pStyle w:val="Odsekzoznamu"/>
              <w:numPr>
                <w:ilvl w:val="0"/>
                <w:numId w:val="2"/>
              </w:numPr>
              <w:rPr>
                <w:rFonts w:eastAsia="Times New Roman"/>
                <w:bCs/>
                <w:sz w:val="20"/>
                <w:szCs w:val="20"/>
              </w:rPr>
            </w:pPr>
          </w:p>
        </w:tc>
        <w:tc>
          <w:tcPr>
            <w:tcW w:w="8221" w:type="dxa"/>
            <w:shd w:val="clear" w:color="auto" w:fill="C6D9F1"/>
          </w:tcPr>
          <w:p w:rsidR="00B02419" w:rsidRPr="00EE383B" w:rsidRDefault="00B02419" w:rsidP="00412E25">
            <w:pPr>
              <w:rPr>
                <w:rFonts w:eastAsia="Times New Roman"/>
                <w:bCs/>
                <w:sz w:val="20"/>
                <w:szCs w:val="20"/>
              </w:rPr>
            </w:pPr>
            <w:r w:rsidRPr="00EE383B">
              <w:rPr>
                <w:rFonts w:eastAsia="Times New Roman"/>
                <w:bCs/>
                <w:sz w:val="20"/>
                <w:szCs w:val="20"/>
              </w:rPr>
              <w:t xml:space="preserve">Nekoncepčný systém využívania technickej pomoci RO a jej nesprávne zacielenie  </w:t>
            </w:r>
          </w:p>
        </w:tc>
      </w:tr>
      <w:tr w:rsidR="00B02419" w:rsidRPr="002C0044" w:rsidTr="00412E25">
        <w:tc>
          <w:tcPr>
            <w:tcW w:w="993" w:type="dxa"/>
            <w:shd w:val="clear" w:color="auto" w:fill="auto"/>
          </w:tcPr>
          <w:p w:rsidR="00B02419" w:rsidRPr="00EE383B" w:rsidRDefault="00B02419" w:rsidP="00B02419">
            <w:pPr>
              <w:pStyle w:val="Odsekzoznamu"/>
              <w:numPr>
                <w:ilvl w:val="0"/>
                <w:numId w:val="2"/>
              </w:numPr>
              <w:rPr>
                <w:rFonts w:eastAsia="Times New Roman"/>
                <w:bCs/>
                <w:sz w:val="20"/>
                <w:szCs w:val="20"/>
              </w:rPr>
            </w:pPr>
          </w:p>
        </w:tc>
        <w:tc>
          <w:tcPr>
            <w:tcW w:w="8221" w:type="dxa"/>
            <w:shd w:val="clear" w:color="auto" w:fill="C6D9F1"/>
          </w:tcPr>
          <w:p w:rsidR="00B02419" w:rsidRPr="00EE383B" w:rsidRDefault="00B02419" w:rsidP="00412E25">
            <w:pPr>
              <w:rPr>
                <w:rFonts w:eastAsia="Times New Roman"/>
                <w:bCs/>
                <w:sz w:val="20"/>
                <w:szCs w:val="20"/>
              </w:rPr>
            </w:pPr>
            <w:r w:rsidRPr="00EE383B">
              <w:rPr>
                <w:rFonts w:eastAsia="Times New Roman"/>
                <w:bCs/>
                <w:sz w:val="20"/>
                <w:szCs w:val="20"/>
              </w:rPr>
              <w:t>Opakované nedostatky vo verejných obstarávaniach zistené pri kontrolách a auditoch</w:t>
            </w:r>
          </w:p>
        </w:tc>
      </w:tr>
      <w:tr w:rsidR="00B02419" w:rsidRPr="002C0044" w:rsidTr="00412E25">
        <w:tc>
          <w:tcPr>
            <w:tcW w:w="993" w:type="dxa"/>
            <w:shd w:val="clear" w:color="auto" w:fill="auto"/>
          </w:tcPr>
          <w:p w:rsidR="00B02419" w:rsidRPr="00EE383B" w:rsidRDefault="00B02419" w:rsidP="00B02419">
            <w:pPr>
              <w:pStyle w:val="Odsekzoznamu"/>
              <w:numPr>
                <w:ilvl w:val="0"/>
                <w:numId w:val="2"/>
              </w:numPr>
              <w:rPr>
                <w:rFonts w:eastAsia="Times New Roman"/>
                <w:bCs/>
                <w:sz w:val="20"/>
                <w:szCs w:val="20"/>
              </w:rPr>
            </w:pPr>
          </w:p>
        </w:tc>
        <w:tc>
          <w:tcPr>
            <w:tcW w:w="8221" w:type="dxa"/>
            <w:shd w:val="clear" w:color="auto" w:fill="C6D9F1"/>
          </w:tcPr>
          <w:p w:rsidR="00B02419" w:rsidRPr="00EE383B" w:rsidRDefault="00B02419" w:rsidP="00412E25">
            <w:pPr>
              <w:rPr>
                <w:rFonts w:eastAsia="Times New Roman"/>
                <w:bCs/>
                <w:sz w:val="20"/>
                <w:szCs w:val="20"/>
              </w:rPr>
            </w:pPr>
            <w:r w:rsidRPr="00EE383B">
              <w:rPr>
                <w:rFonts w:eastAsia="Times New Roman"/>
                <w:bCs/>
                <w:sz w:val="20"/>
                <w:szCs w:val="20"/>
              </w:rPr>
              <w:t>Riziko nedostatočného posudzovania vplyvov na životné prostredie v zmysle smernice Európskeho parlamentu a Rady 2011/92/ES o posudzovaní vplyvov určitých verejných a súkromných projektov na životné prostredie</w:t>
            </w:r>
          </w:p>
        </w:tc>
      </w:tr>
      <w:tr w:rsidR="00B02419" w:rsidRPr="002C0044" w:rsidTr="00412E25">
        <w:tc>
          <w:tcPr>
            <w:tcW w:w="993" w:type="dxa"/>
            <w:shd w:val="clear" w:color="auto" w:fill="auto"/>
          </w:tcPr>
          <w:p w:rsidR="00B02419" w:rsidRPr="00EE383B" w:rsidRDefault="00B02419" w:rsidP="00B02419">
            <w:pPr>
              <w:pStyle w:val="Odsekzoznamu"/>
              <w:numPr>
                <w:ilvl w:val="0"/>
                <w:numId w:val="2"/>
              </w:numPr>
              <w:rPr>
                <w:rFonts w:eastAsia="Times New Roman"/>
                <w:bCs/>
                <w:sz w:val="20"/>
                <w:szCs w:val="20"/>
              </w:rPr>
            </w:pPr>
          </w:p>
        </w:tc>
        <w:tc>
          <w:tcPr>
            <w:tcW w:w="8221" w:type="dxa"/>
            <w:shd w:val="clear" w:color="auto" w:fill="C6D9F1"/>
          </w:tcPr>
          <w:p w:rsidR="00B02419" w:rsidRPr="00EE383B" w:rsidRDefault="00B02419" w:rsidP="00412E25">
            <w:pPr>
              <w:rPr>
                <w:rFonts w:eastAsia="Times New Roman"/>
                <w:bCs/>
                <w:sz w:val="20"/>
                <w:szCs w:val="20"/>
              </w:rPr>
            </w:pPr>
            <w:r w:rsidRPr="00EE383B">
              <w:rPr>
                <w:rFonts w:eastAsia="Times New Roman"/>
                <w:bCs/>
                <w:sz w:val="20"/>
                <w:szCs w:val="20"/>
              </w:rPr>
              <w:t>Potreba posilnenia AK na plnenie úloh koordinátora štátnej pomoci</w:t>
            </w:r>
          </w:p>
        </w:tc>
      </w:tr>
    </w:tbl>
    <w:p w:rsidR="00B02419" w:rsidRDefault="00B02419" w:rsidP="00B02419"/>
    <w:p w:rsidR="00F2777A" w:rsidRDefault="00F2777A"/>
    <w:sectPr w:rsidR="00F2777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2419" w:rsidRDefault="00B02419" w:rsidP="00B02419">
      <w:pPr>
        <w:spacing w:after="0"/>
      </w:pPr>
      <w:r>
        <w:separator/>
      </w:r>
    </w:p>
  </w:endnote>
  <w:endnote w:type="continuationSeparator" w:id="0">
    <w:p w:rsidR="00B02419" w:rsidRDefault="00B02419" w:rsidP="00B02419">
      <w:pPr>
        <w:spacing w:after="0"/>
      </w:pPr>
      <w:r>
        <w:continuationSeparator/>
      </w:r>
    </w:p>
  </w:endnote>
  <w:endnote w:id="1">
    <w:p w:rsidR="00B02419" w:rsidRPr="00297EE1" w:rsidRDefault="00B02419" w:rsidP="00B02419">
      <w:pPr>
        <w:pStyle w:val="Textpoznmkypodiarou"/>
        <w:rPr>
          <w:sz w:val="16"/>
          <w:szCs w:val="16"/>
        </w:rPr>
      </w:pPr>
      <w:r w:rsidRPr="00CF69CC">
        <w:rPr>
          <w:rStyle w:val="Odkaznavysvetlivku"/>
          <w:rFonts w:ascii="Times New Roman" w:eastAsia="Calibri" w:hAnsi="Times New Roman"/>
          <w:sz w:val="20"/>
          <w:szCs w:val="20"/>
        </w:rPr>
        <w:endnoteRef/>
      </w:r>
      <w:r>
        <w:t xml:space="preserve"> </w:t>
      </w:r>
      <w:r w:rsidRPr="00112DB0">
        <w:rPr>
          <w:sz w:val="16"/>
          <w:szCs w:val="16"/>
        </w:rPr>
        <w:t xml:space="preserve">Identifikácia disparít vychádza z dokumentu </w:t>
      </w:r>
      <w:r>
        <w:rPr>
          <w:sz w:val="16"/>
          <w:szCs w:val="16"/>
        </w:rPr>
        <w:t>„</w:t>
      </w:r>
      <w:r w:rsidRPr="00297EE1">
        <w:rPr>
          <w:sz w:val="16"/>
          <w:szCs w:val="16"/>
        </w:rPr>
        <w:t>Analýza administratívnych kapacít (AK) a efektívnosti subjektov</w:t>
      </w:r>
    </w:p>
    <w:p w:rsidR="00B02419" w:rsidRDefault="00B02419" w:rsidP="00B02419">
      <w:pPr>
        <w:pStyle w:val="Textvysvetlivky"/>
      </w:pPr>
      <w:r w:rsidRPr="00297EE1">
        <w:rPr>
          <w:sz w:val="16"/>
          <w:szCs w:val="16"/>
        </w:rPr>
        <w:t>zodpovedných za európske štrukturálne a investičné fondy a AK prijímateľov pomoci</w:t>
      </w:r>
      <w:r>
        <w:rPr>
          <w:sz w:val="16"/>
          <w:szCs w:val="16"/>
        </w:rPr>
        <w:t xml:space="preserve">“ a </w:t>
      </w:r>
      <w:r w:rsidRPr="00112DB0">
        <w:rPr>
          <w:sz w:val="16"/>
          <w:szCs w:val="16"/>
        </w:rPr>
        <w:t>„Pozícia CKO k Pozičnému dokumentu Komisie k vypracovaniu Partnerskej dohody a programov na Slovensku na roky 2014 – 2020, časť C. Pozičného dokumentu: Administratívne dohody“</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Stencil"/>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2419" w:rsidRDefault="00B02419" w:rsidP="00B02419">
      <w:pPr>
        <w:spacing w:after="0"/>
      </w:pPr>
      <w:r>
        <w:separator/>
      </w:r>
    </w:p>
  </w:footnote>
  <w:footnote w:type="continuationSeparator" w:id="0">
    <w:p w:rsidR="00B02419" w:rsidRDefault="00B02419" w:rsidP="00B02419">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AD0FDE"/>
    <w:multiLevelType w:val="hybridMultilevel"/>
    <w:tmpl w:val="F6CC891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70333000"/>
    <w:multiLevelType w:val="multilevel"/>
    <w:tmpl w:val="D426374C"/>
    <w:lvl w:ilvl="0">
      <w:start w:val="1"/>
      <w:numFmt w:val="decimal"/>
      <w:lvlText w:val="%1."/>
      <w:lvlJc w:val="left"/>
      <w:pPr>
        <w:ind w:left="644"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color w:val="4F81BD"/>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419"/>
    <w:rsid w:val="009B2370"/>
    <w:rsid w:val="00B02419"/>
    <w:rsid w:val="00F2777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B02419"/>
    <w:pPr>
      <w:spacing w:after="120" w:line="240" w:lineRule="auto"/>
      <w:jc w:val="both"/>
    </w:pPr>
    <w:rPr>
      <w:rFonts w:ascii="Times New Roman" w:eastAsia="Calibri" w:hAnsi="Times New Roman" w:cs="Times New Roman"/>
      <w:sz w:val="24"/>
    </w:rPr>
  </w:style>
  <w:style w:type="paragraph" w:styleId="Nadpis2">
    <w:name w:val="heading 2"/>
    <w:aliases w:val="02_Heading 2"/>
    <w:basedOn w:val="Normlny"/>
    <w:next w:val="Normlny"/>
    <w:link w:val="Nadpis2Char"/>
    <w:unhideWhenUsed/>
    <w:qFormat/>
    <w:rsid w:val="00B02419"/>
    <w:pPr>
      <w:keepNext/>
      <w:keepLines/>
      <w:spacing w:before="200" w:after="0"/>
      <w:outlineLvl w:val="1"/>
    </w:pPr>
    <w:rPr>
      <w:rFonts w:eastAsia="Times New Roman"/>
      <w:b/>
      <w:bCs/>
      <w:color w:val="4F81BD"/>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02_Heading 2 Char"/>
    <w:basedOn w:val="Predvolenpsmoodseku"/>
    <w:link w:val="Nadpis2"/>
    <w:rsid w:val="00B02419"/>
    <w:rPr>
      <w:rFonts w:ascii="Times New Roman" w:eastAsia="Times New Roman" w:hAnsi="Times New Roman" w:cs="Times New Roman"/>
      <w:b/>
      <w:bCs/>
      <w:color w:val="4F81BD"/>
      <w:sz w:val="24"/>
      <w:szCs w:val="26"/>
    </w:rPr>
  </w:style>
  <w:style w:type="paragraph" w:styleId="Odsekzoznamu">
    <w:name w:val="List Paragraph"/>
    <w:aliases w:val="body,Odsek zoznamu2,List Paragraph"/>
    <w:basedOn w:val="Normlny"/>
    <w:link w:val="OdsekzoznamuChar"/>
    <w:uiPriority w:val="34"/>
    <w:qFormat/>
    <w:rsid w:val="00B02419"/>
    <w:pPr>
      <w:ind w:left="720"/>
      <w:contextualSpacing/>
    </w:pPr>
  </w:style>
  <w:style w:type="paragraph" w:styleId="Textvysvetlivky">
    <w:name w:val="endnote text"/>
    <w:basedOn w:val="Normlny"/>
    <w:link w:val="TextvysvetlivkyChar"/>
    <w:uiPriority w:val="99"/>
    <w:semiHidden/>
    <w:unhideWhenUsed/>
    <w:rsid w:val="00B02419"/>
    <w:pPr>
      <w:spacing w:after="0"/>
    </w:pPr>
    <w:rPr>
      <w:sz w:val="20"/>
      <w:szCs w:val="20"/>
    </w:rPr>
  </w:style>
  <w:style w:type="character" w:customStyle="1" w:styleId="TextvysvetlivkyChar">
    <w:name w:val="Text vysvetlivky Char"/>
    <w:basedOn w:val="Predvolenpsmoodseku"/>
    <w:link w:val="Textvysvetlivky"/>
    <w:uiPriority w:val="99"/>
    <w:semiHidden/>
    <w:rsid w:val="00B02419"/>
    <w:rPr>
      <w:rFonts w:ascii="Times New Roman" w:eastAsia="Calibri" w:hAnsi="Times New Roman" w:cs="Times New Roman"/>
      <w:sz w:val="20"/>
      <w:szCs w:val="20"/>
    </w:rPr>
  </w:style>
  <w:style w:type="character" w:styleId="Odkaznavysvetlivku">
    <w:name w:val="endnote reference"/>
    <w:uiPriority w:val="99"/>
    <w:semiHidden/>
    <w:unhideWhenUsed/>
    <w:rsid w:val="00B02419"/>
    <w:rPr>
      <w:vertAlign w:val="superscript"/>
    </w:rPr>
  </w:style>
  <w:style w:type="character" w:customStyle="1" w:styleId="OdsekzoznamuChar">
    <w:name w:val="Odsek zoznamu Char"/>
    <w:aliases w:val="body Char,Odsek zoznamu2 Char,List Paragraph Char,Farebný zoznam – zvýraznenie 1 Char"/>
    <w:link w:val="Odsekzoznamu"/>
    <w:uiPriority w:val="34"/>
    <w:locked/>
    <w:rsid w:val="00B02419"/>
    <w:rPr>
      <w:rFonts w:ascii="Times New Roman" w:eastAsia="Calibri" w:hAnsi="Times New Roman" w:cs="Times New Roman"/>
      <w:sz w:val="24"/>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B02419"/>
    <w:pPr>
      <w:spacing w:after="0"/>
    </w:pPr>
    <w:rPr>
      <w:rFonts w:ascii="Calibri" w:eastAsia="Times New Roman" w:hAnsi="Calibri"/>
      <w:szCs w:val="24"/>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B02419"/>
    <w:rPr>
      <w:rFonts w:ascii="Calibri" w:eastAsia="Times New Roman" w:hAnsi="Calibri"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B02419"/>
    <w:pPr>
      <w:spacing w:after="120" w:line="240" w:lineRule="auto"/>
      <w:jc w:val="both"/>
    </w:pPr>
    <w:rPr>
      <w:rFonts w:ascii="Times New Roman" w:eastAsia="Calibri" w:hAnsi="Times New Roman" w:cs="Times New Roman"/>
      <w:sz w:val="24"/>
    </w:rPr>
  </w:style>
  <w:style w:type="paragraph" w:styleId="Nadpis2">
    <w:name w:val="heading 2"/>
    <w:aliases w:val="02_Heading 2"/>
    <w:basedOn w:val="Normlny"/>
    <w:next w:val="Normlny"/>
    <w:link w:val="Nadpis2Char"/>
    <w:unhideWhenUsed/>
    <w:qFormat/>
    <w:rsid w:val="00B02419"/>
    <w:pPr>
      <w:keepNext/>
      <w:keepLines/>
      <w:spacing w:before="200" w:after="0"/>
      <w:outlineLvl w:val="1"/>
    </w:pPr>
    <w:rPr>
      <w:rFonts w:eastAsia="Times New Roman"/>
      <w:b/>
      <w:bCs/>
      <w:color w:val="4F81BD"/>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02_Heading 2 Char"/>
    <w:basedOn w:val="Predvolenpsmoodseku"/>
    <w:link w:val="Nadpis2"/>
    <w:rsid w:val="00B02419"/>
    <w:rPr>
      <w:rFonts w:ascii="Times New Roman" w:eastAsia="Times New Roman" w:hAnsi="Times New Roman" w:cs="Times New Roman"/>
      <w:b/>
      <w:bCs/>
      <w:color w:val="4F81BD"/>
      <w:sz w:val="24"/>
      <w:szCs w:val="26"/>
    </w:rPr>
  </w:style>
  <w:style w:type="paragraph" w:styleId="Odsekzoznamu">
    <w:name w:val="List Paragraph"/>
    <w:aliases w:val="body,Odsek zoznamu2,List Paragraph"/>
    <w:basedOn w:val="Normlny"/>
    <w:link w:val="OdsekzoznamuChar"/>
    <w:uiPriority w:val="34"/>
    <w:qFormat/>
    <w:rsid w:val="00B02419"/>
    <w:pPr>
      <w:ind w:left="720"/>
      <w:contextualSpacing/>
    </w:pPr>
  </w:style>
  <w:style w:type="paragraph" w:styleId="Textvysvetlivky">
    <w:name w:val="endnote text"/>
    <w:basedOn w:val="Normlny"/>
    <w:link w:val="TextvysvetlivkyChar"/>
    <w:uiPriority w:val="99"/>
    <w:semiHidden/>
    <w:unhideWhenUsed/>
    <w:rsid w:val="00B02419"/>
    <w:pPr>
      <w:spacing w:after="0"/>
    </w:pPr>
    <w:rPr>
      <w:sz w:val="20"/>
      <w:szCs w:val="20"/>
    </w:rPr>
  </w:style>
  <w:style w:type="character" w:customStyle="1" w:styleId="TextvysvetlivkyChar">
    <w:name w:val="Text vysvetlivky Char"/>
    <w:basedOn w:val="Predvolenpsmoodseku"/>
    <w:link w:val="Textvysvetlivky"/>
    <w:uiPriority w:val="99"/>
    <w:semiHidden/>
    <w:rsid w:val="00B02419"/>
    <w:rPr>
      <w:rFonts w:ascii="Times New Roman" w:eastAsia="Calibri" w:hAnsi="Times New Roman" w:cs="Times New Roman"/>
      <w:sz w:val="20"/>
      <w:szCs w:val="20"/>
    </w:rPr>
  </w:style>
  <w:style w:type="character" w:styleId="Odkaznavysvetlivku">
    <w:name w:val="endnote reference"/>
    <w:uiPriority w:val="99"/>
    <w:semiHidden/>
    <w:unhideWhenUsed/>
    <w:rsid w:val="00B02419"/>
    <w:rPr>
      <w:vertAlign w:val="superscript"/>
    </w:rPr>
  </w:style>
  <w:style w:type="character" w:customStyle="1" w:styleId="OdsekzoznamuChar">
    <w:name w:val="Odsek zoznamu Char"/>
    <w:aliases w:val="body Char,Odsek zoznamu2 Char,List Paragraph Char,Farebný zoznam – zvýraznenie 1 Char"/>
    <w:link w:val="Odsekzoznamu"/>
    <w:uiPriority w:val="34"/>
    <w:locked/>
    <w:rsid w:val="00B02419"/>
    <w:rPr>
      <w:rFonts w:ascii="Times New Roman" w:eastAsia="Calibri" w:hAnsi="Times New Roman" w:cs="Times New Roman"/>
      <w:sz w:val="24"/>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B02419"/>
    <w:pPr>
      <w:spacing w:after="0"/>
    </w:pPr>
    <w:rPr>
      <w:rFonts w:ascii="Calibri" w:eastAsia="Times New Roman" w:hAnsi="Calibri"/>
      <w:szCs w:val="24"/>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B02419"/>
    <w:rPr>
      <w:rFonts w:ascii="Calibri" w:eastAsia="Times New Roman" w:hAnsi="Calibri"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293</Words>
  <Characters>1891</Characters>
  <Application>Microsoft Office Word</Application>
  <DocSecurity>0</DocSecurity>
  <Lines>52</Lines>
  <Paragraphs>20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Niňaj Tomáš</dc:creator>
  <cp:lastModifiedBy>Niňaj Tomáš</cp:lastModifiedBy>
  <cp:revision>1</cp:revision>
  <dcterms:created xsi:type="dcterms:W3CDTF">2014-11-18T18:43:00Z</dcterms:created>
  <dcterms:modified xsi:type="dcterms:W3CDTF">2014-11-18T18:45:00Z</dcterms:modified>
</cp:coreProperties>
</file>