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>Informácia o zmene č. 1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EE719A" w:rsidRPr="002B3A70">
        <w:rPr>
          <w:rFonts w:ascii="Times New Roman" w:hAnsi="Times New Roman"/>
        </w:rPr>
        <w:t>OPTP-P</w:t>
      </w:r>
      <w:r w:rsidR="00EE719A">
        <w:rPr>
          <w:rFonts w:ascii="Times New Roman" w:hAnsi="Times New Roman"/>
        </w:rPr>
        <w:t>0</w:t>
      </w:r>
      <w:r w:rsidR="00EE719A" w:rsidRPr="002B3A70">
        <w:rPr>
          <w:rFonts w:ascii="Times New Roman" w:hAnsi="Times New Roman"/>
        </w:rPr>
        <w:t>1-SC</w:t>
      </w:r>
      <w:r w:rsidR="00EE719A">
        <w:rPr>
          <w:rFonts w:ascii="Times New Roman" w:hAnsi="Times New Roman"/>
        </w:rPr>
        <w:t>3</w:t>
      </w:r>
      <w:r w:rsidR="00EE719A" w:rsidRPr="002B3A70">
        <w:rPr>
          <w:rFonts w:ascii="Times New Roman" w:hAnsi="Times New Roman"/>
        </w:rPr>
        <w:t>-2016-</w:t>
      </w:r>
      <w:r w:rsidR="00EE719A">
        <w:rPr>
          <w:rFonts w:ascii="Times New Roman" w:hAnsi="Times New Roman"/>
        </w:rPr>
        <w:t>3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Pr="00EE719A" w:rsidRDefault="001D1654" w:rsidP="001B1585">
      <w:pPr>
        <w:jc w:val="both"/>
        <w:rPr>
          <w:bCs/>
          <w:i/>
          <w:sz w:val="24"/>
          <w:szCs w:val="24"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>na projekty technickej pomoci č. (kód) OPTP-P01-SC</w:t>
      </w:r>
      <w:r w:rsidR="00EE719A">
        <w:rPr>
          <w:bCs/>
          <w:sz w:val="24"/>
          <w:szCs w:val="24"/>
        </w:rPr>
        <w:t>3</w:t>
      </w:r>
      <w:r w:rsidRPr="00DC4DD5">
        <w:rPr>
          <w:bCs/>
          <w:sz w:val="24"/>
          <w:szCs w:val="24"/>
        </w:rPr>
        <w:t>-2016</w:t>
      </w:r>
      <w:r>
        <w:rPr>
          <w:bCs/>
          <w:sz w:val="24"/>
          <w:szCs w:val="24"/>
        </w:rPr>
        <w:t>-</w:t>
      </w:r>
      <w:r w:rsidR="00EE719A">
        <w:rPr>
          <w:bCs/>
          <w:sz w:val="24"/>
          <w:szCs w:val="24"/>
        </w:rPr>
        <w:t>3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EE719A" w:rsidRPr="00EE719A">
        <w:rPr>
          <w:bCs/>
          <w:sz w:val="24"/>
          <w:szCs w:val="24"/>
        </w:rPr>
        <w:t>Implementovať správny a transparentný systém riadenia, kontroly a auditu EŠIF 1</w:t>
      </w:r>
      <w:r>
        <w:rPr>
          <w:bCs/>
          <w:sz w:val="24"/>
          <w:szCs w:val="24"/>
        </w:rPr>
        <w:t>“</w:t>
      </w:r>
      <w:r w:rsidR="00E868CE">
        <w:rPr>
          <w:bCs/>
          <w:sz w:val="24"/>
          <w:szCs w:val="24"/>
        </w:rPr>
        <w:t>,</w:t>
      </w:r>
      <w:r w:rsidR="002A5D16" w:rsidRPr="00741FA1">
        <w:rPr>
          <w:bCs/>
          <w:sz w:val="24"/>
          <w:szCs w:val="24"/>
        </w:rPr>
        <w:t xml:space="preserve"> </w:t>
      </w:r>
      <w:r w:rsidR="00EE719A">
        <w:rPr>
          <w:bCs/>
          <w:sz w:val="24"/>
          <w:szCs w:val="24"/>
        </w:rPr>
        <w:t>vyhláseného</w:t>
      </w:r>
      <w:r w:rsidR="002A5D16" w:rsidRPr="00741FA1">
        <w:rPr>
          <w:bCs/>
          <w:sz w:val="24"/>
          <w:szCs w:val="24"/>
        </w:rPr>
        <w:t xml:space="preserve"> dňa 2</w:t>
      </w:r>
      <w:r w:rsidR="00EE719A">
        <w:rPr>
          <w:bCs/>
          <w:sz w:val="24"/>
          <w:szCs w:val="24"/>
        </w:rPr>
        <w:t>1</w:t>
      </w:r>
      <w:r w:rsidR="002A5D16" w:rsidRPr="00741FA1">
        <w:rPr>
          <w:bCs/>
          <w:sz w:val="24"/>
          <w:szCs w:val="24"/>
        </w:rPr>
        <w:t>.</w:t>
      </w:r>
      <w:r w:rsidR="00EE719A">
        <w:rPr>
          <w:bCs/>
          <w:sz w:val="24"/>
          <w:szCs w:val="24"/>
        </w:rPr>
        <w:t>3</w:t>
      </w:r>
      <w:r w:rsidR="002A5D16" w:rsidRPr="00741FA1">
        <w:rPr>
          <w:bCs/>
          <w:sz w:val="24"/>
          <w:szCs w:val="24"/>
        </w:rPr>
        <w:t>.2016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547592" w:rsidRPr="00EE719A" w:rsidRDefault="00547592" w:rsidP="00547592">
      <w:pPr>
        <w:pStyle w:val="Odsekzoznamu"/>
        <w:numPr>
          <w:ilvl w:val="0"/>
          <w:numId w:val="30"/>
        </w:numPr>
        <w:jc w:val="both"/>
        <w:rPr>
          <w:bCs/>
          <w:i/>
        </w:rPr>
      </w:pPr>
      <w:r w:rsidRPr="00EE719A">
        <w:rPr>
          <w:rFonts w:asciiTheme="minorHAnsi" w:hAnsiTheme="minorHAnsi"/>
          <w:bCs/>
          <w:i/>
          <w:sz w:val="22"/>
          <w:szCs w:val="22"/>
        </w:rPr>
        <w:t>v časti</w:t>
      </w:r>
      <w:r w:rsidRPr="00EE719A">
        <w:rPr>
          <w:bCs/>
          <w:i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2.1</w:t>
      </w:r>
      <w:r w:rsidRPr="00EE719A">
        <w:rPr>
          <w:rFonts w:asciiTheme="minorHAnsi" w:hAnsiTheme="minorHAnsi"/>
          <w:b/>
          <w:bCs/>
          <w:i/>
          <w:sz w:val="22"/>
          <w:szCs w:val="22"/>
        </w:rPr>
        <w:t xml:space="preserve"> </w:t>
      </w:r>
      <w:r w:rsidR="00EE719A">
        <w:rPr>
          <w:rFonts w:asciiTheme="minorHAnsi" w:hAnsiTheme="minorHAnsi"/>
          <w:b/>
          <w:bCs/>
          <w:i/>
          <w:sz w:val="22"/>
          <w:szCs w:val="22"/>
        </w:rPr>
        <w:t>Oprávnenosť žiadateľa</w:t>
      </w:r>
    </w:p>
    <w:p w:rsidR="00EE719A" w:rsidRDefault="00EE719A" w:rsidP="00EE719A">
      <w:pPr>
        <w:spacing w:before="240" w:after="240"/>
        <w:ind w:firstLine="360"/>
        <w:jc w:val="both"/>
      </w:pPr>
      <w:r w:rsidRPr="00FC0520">
        <w:rPr>
          <w:u w:val="single"/>
        </w:rPr>
        <w:t>Oprávnen</w:t>
      </w:r>
      <w:r>
        <w:rPr>
          <w:u w:val="single"/>
        </w:rPr>
        <w:t>ý</w:t>
      </w:r>
      <w:r w:rsidRPr="00FC0520">
        <w:rPr>
          <w:u w:val="single"/>
        </w:rPr>
        <w:t xml:space="preserve"> žiadate</w:t>
      </w:r>
      <w:r>
        <w:rPr>
          <w:u w:val="single"/>
        </w:rPr>
        <w:t>ľ</w:t>
      </w:r>
      <w:r w:rsidRPr="00FC0520">
        <w:t>:</w:t>
      </w:r>
    </w:p>
    <w:p w:rsidR="00EE719A" w:rsidRPr="002E5BFD" w:rsidRDefault="00EE719A" w:rsidP="00EE719A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301010031A008 - A. Činnosti spojené s realizáciou Rady CKO, Monitorovacími výbormi, zasadnutiami pracovných skupín EŠIF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EE719A" w:rsidRPr="00575926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EE719A" w:rsidRPr="00A2307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ostatné útvary zabezpečujúce oprávnené činnosti pre potreby subjektov zapojených do EŠIF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EE719A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E719A" w:rsidRP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EE719A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E719A" w:rsidRPr="002E5BFD" w:rsidRDefault="00EE719A" w:rsidP="00EE719A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lastRenderedPageBreak/>
        <w:t>Aktivita 301010031A010 - C. Implementácia systému manažérstva kvality pre subjekty EŠIF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 w:rsidR="00C144C2">
        <w:rPr>
          <w:rFonts w:asciiTheme="minorHAnsi" w:hAnsiTheme="minorHAnsi"/>
          <w:sz w:val="22"/>
          <w:szCs w:val="22"/>
        </w:rPr>
        <w:t xml:space="preserve"> (do 31.5.2016)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C144C2" w:rsidRDefault="00C144C2" w:rsidP="00C144C2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C144C2" w:rsidRDefault="00C144C2" w:rsidP="00C144C2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C144C2" w:rsidRDefault="00C144C2" w:rsidP="00C144C2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C144C2" w:rsidRDefault="00C144C2" w:rsidP="00C144C2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C144C2" w:rsidRPr="00575926" w:rsidRDefault="00C144C2" w:rsidP="00C144C2">
      <w:pPr>
        <w:pStyle w:val="Odsekzoznamu"/>
        <w:spacing w:before="120"/>
        <w:ind w:left="1440"/>
        <w:rPr>
          <w:rFonts w:asciiTheme="minorHAnsi" w:hAnsiTheme="minorHAnsi"/>
          <w:sz w:val="22"/>
          <w:szCs w:val="22"/>
        </w:rPr>
      </w:pPr>
    </w:p>
    <w:p w:rsidR="00EE719A" w:rsidRPr="002E5BFD" w:rsidRDefault="00EE719A" w:rsidP="00EE719A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301010031A011 - D. Riešenie korupcie a boj proti podvodom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 w:rsidR="00C144C2">
        <w:rPr>
          <w:rFonts w:asciiTheme="minorHAnsi" w:hAnsiTheme="minorHAnsi"/>
          <w:sz w:val="22"/>
          <w:szCs w:val="22"/>
        </w:rPr>
        <w:t xml:space="preserve"> (do 31.5.2016)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EE719A" w:rsidRPr="00575926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EE719A" w:rsidRPr="008F16C5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 w:rsidR="000E63D9">
        <w:rPr>
          <w:rFonts w:asciiTheme="minorHAnsi" w:hAnsiTheme="minorHAnsi"/>
          <w:sz w:val="22"/>
          <w:szCs w:val="22"/>
        </w:rPr>
        <w:t xml:space="preserve"> ako orgán pre ochranu hospodárskej súťaže</w:t>
      </w:r>
    </w:p>
    <w:p w:rsidR="00C144C2" w:rsidRDefault="00C144C2" w:rsidP="00C144C2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C144C2" w:rsidRDefault="00C144C2" w:rsidP="00C144C2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E719A" w:rsidRDefault="00EE719A" w:rsidP="00EE719A">
      <w:pPr>
        <w:spacing w:after="0" w:line="240" w:lineRule="auto"/>
      </w:pPr>
    </w:p>
    <w:p w:rsidR="00EE719A" w:rsidRPr="002E5BFD" w:rsidRDefault="00EE719A" w:rsidP="00EE719A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 301010031A012 - E. Hodnotenia, analýzy, štúdie a expertízne posúdenia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 w:rsidR="00C144C2">
        <w:rPr>
          <w:rFonts w:asciiTheme="minorHAnsi" w:hAnsiTheme="minorHAnsi"/>
          <w:sz w:val="22"/>
          <w:szCs w:val="22"/>
        </w:rPr>
        <w:t xml:space="preserve"> (do 31.5.2016)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C144C2" w:rsidRPr="00CD1A3F" w:rsidRDefault="00C144C2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 w:rsidR="00C144C2">
        <w:rPr>
          <w:rFonts w:asciiTheme="minorHAnsi" w:hAnsiTheme="minorHAnsi"/>
          <w:sz w:val="22"/>
          <w:szCs w:val="22"/>
        </w:rPr>
        <w:t>potreby subjektov zapojených do EŠIF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 w:rsidR="00C144C2">
        <w:rPr>
          <w:rFonts w:asciiTheme="minorHAnsi" w:hAnsiTheme="minorHAnsi"/>
          <w:sz w:val="22"/>
          <w:szCs w:val="22"/>
        </w:rPr>
        <w:t xml:space="preserve"> (do 31.5.2016)</w:t>
      </w:r>
    </w:p>
    <w:p w:rsidR="00C144C2" w:rsidRDefault="00C144C2" w:rsidP="00C144C2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stratégiu riadenia a vzdelávania AK EŠIF (od 15.5.2016)</w:t>
      </w:r>
    </w:p>
    <w:p w:rsidR="00C144C2" w:rsidRDefault="00C144C2" w:rsidP="00C144C2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útvar zabezpečujúci informovanie a komunikáciu na úrovni PD a OP TP (od 1.6.2016)</w:t>
      </w:r>
    </w:p>
    <w:p w:rsidR="00C144C2" w:rsidRDefault="00C144C2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C144C2" w:rsidRDefault="00C144C2" w:rsidP="00C144C2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C144C2" w:rsidRDefault="00C144C2" w:rsidP="00C144C2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C144C2" w:rsidRPr="00EE719A" w:rsidRDefault="00C144C2" w:rsidP="00C144C2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EE719A" w:rsidRPr="008F16C5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u w:val="single"/>
        </w:rPr>
      </w:pPr>
      <w:r>
        <w:rPr>
          <w:rFonts w:asciiTheme="minorHAnsi" w:hAnsiTheme="minorHAnsi"/>
          <w:sz w:val="22"/>
          <w:szCs w:val="22"/>
        </w:rPr>
        <w:t>ako o</w:t>
      </w:r>
      <w:r w:rsidRPr="00F359D9">
        <w:rPr>
          <w:rFonts w:asciiTheme="minorHAnsi" w:hAnsiTheme="minorHAnsi"/>
          <w:sz w:val="22"/>
          <w:szCs w:val="22"/>
        </w:rPr>
        <w:t>rganizačné útvary</w:t>
      </w:r>
      <w:r>
        <w:rPr>
          <w:rFonts w:asciiTheme="minorHAnsi" w:hAnsiTheme="minorHAnsi"/>
          <w:sz w:val="22"/>
          <w:szCs w:val="22"/>
        </w:rPr>
        <w:t xml:space="preserve"> zaoberajúce sa analytickou činnosťou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EE719A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EE719A" w:rsidRPr="00CD1A3F" w:rsidRDefault="00EE719A" w:rsidP="00EE719A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EE719A" w:rsidRPr="00E84989" w:rsidRDefault="00EE719A" w:rsidP="00EE719A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lastRenderedPageBreak/>
        <w:t>Aktivita</w:t>
      </w:r>
      <w:r w:rsidRPr="00E84989">
        <w:rPr>
          <w:b/>
        </w:rPr>
        <w:t xml:space="preserve"> 301010031A013 - F. Konzultačné, poradenské a právne služby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 w:rsidR="00491051">
        <w:rPr>
          <w:rFonts w:asciiTheme="minorHAnsi" w:hAnsiTheme="minorHAnsi"/>
          <w:sz w:val="22"/>
          <w:szCs w:val="22"/>
        </w:rPr>
        <w:t xml:space="preserve"> (do 31.5.2016)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491051" w:rsidRPr="00CD1A3F" w:rsidRDefault="00491051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 w:rsidR="00491051">
        <w:rPr>
          <w:rFonts w:asciiTheme="minorHAnsi" w:hAnsiTheme="minorHAnsi"/>
          <w:sz w:val="22"/>
          <w:szCs w:val="22"/>
        </w:rPr>
        <w:t>potreby subjektov zapojených do EŠIF</w:t>
      </w:r>
    </w:p>
    <w:p w:rsidR="00491051" w:rsidRDefault="00EE719A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gestor HP UR</w:t>
      </w:r>
      <w:r w:rsidR="00491051">
        <w:rPr>
          <w:rFonts w:asciiTheme="minorHAnsi" w:hAnsiTheme="minorHAnsi"/>
          <w:sz w:val="22"/>
          <w:szCs w:val="22"/>
        </w:rPr>
        <w:t xml:space="preserve"> (do 31.5.2016)</w:t>
      </w:r>
      <w:r w:rsidR="00491051" w:rsidRPr="00491051">
        <w:rPr>
          <w:rFonts w:asciiTheme="minorHAnsi" w:hAnsiTheme="minorHAnsi"/>
          <w:sz w:val="22"/>
          <w:szCs w:val="22"/>
        </w:rPr>
        <w:t xml:space="preserve"> 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EE719A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491051" w:rsidRDefault="00491051" w:rsidP="00491051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491051" w:rsidRPr="00EE719A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E719A" w:rsidRPr="008F16C5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</w:t>
      </w:r>
      <w:r w:rsidRPr="00F359D9">
        <w:rPr>
          <w:rFonts w:asciiTheme="minorHAnsi" w:hAnsiTheme="minorHAnsi"/>
          <w:sz w:val="22"/>
          <w:szCs w:val="22"/>
        </w:rPr>
        <w:t>rganizačné útvary podieľajúce sa na implementácii FN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EE719A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EE719A" w:rsidRDefault="00EE719A" w:rsidP="00EE719A">
      <w:pPr>
        <w:spacing w:after="0" w:line="240" w:lineRule="auto"/>
        <w:rPr>
          <w:rFonts w:asciiTheme="minorHAnsi" w:hAnsiTheme="minorHAnsi"/>
          <w:u w:val="single"/>
        </w:rPr>
      </w:pPr>
    </w:p>
    <w:p w:rsidR="00EE719A" w:rsidRPr="00E84989" w:rsidRDefault="00EE719A" w:rsidP="00EE719A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301010031A014 - G. Služby zamerané na zabezpečenie výkonu auditov a kontrol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E719A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ako koordinátor štátnej pomoci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EE719A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Úrad vlády SR 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EE719A" w:rsidRDefault="00EE719A" w:rsidP="00EE719A">
      <w:pPr>
        <w:spacing w:before="120"/>
        <w:ind w:left="360"/>
        <w:rPr>
          <w:rFonts w:asciiTheme="minorHAnsi" w:hAnsiTheme="minorHAnsi"/>
        </w:rPr>
      </w:pPr>
    </w:p>
    <w:p w:rsidR="00EE719A" w:rsidRPr="0029320B" w:rsidRDefault="00EE719A" w:rsidP="00EE719A">
      <w:pPr>
        <w:spacing w:before="120"/>
        <w:ind w:left="36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Aktivita </w:t>
      </w:r>
      <w:r w:rsidRPr="0029320B">
        <w:rPr>
          <w:rFonts w:asciiTheme="minorHAnsi" w:hAnsiTheme="minorHAnsi"/>
          <w:b/>
        </w:rPr>
        <w:t>301010031A015 - H. Služby so zameraním na zabezpečenie IS, technickej a administratívnej podpory</w:t>
      </w:r>
    </w:p>
    <w:p w:rsidR="00491051" w:rsidRPr="00CD1A3F" w:rsidRDefault="00491051" w:rsidP="00491051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491051" w:rsidRPr="00CD1A3F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491051" w:rsidRPr="00CD1A3F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platobná jednotka pre OP TP</w:t>
      </w:r>
    </w:p>
    <w:p w:rsidR="00491051" w:rsidRPr="00CD1A3F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ako ostatné útvary zabezpečujúce oprávnené činnosti pre </w:t>
      </w:r>
      <w:r>
        <w:rPr>
          <w:rFonts w:asciiTheme="minorHAnsi" w:hAnsiTheme="minorHAnsi"/>
          <w:sz w:val="22"/>
          <w:szCs w:val="22"/>
        </w:rPr>
        <w:t>potreby subjektov zapojených do EŠIF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(do 31.5.2016)</w:t>
      </w:r>
      <w:r w:rsidRPr="00491051">
        <w:rPr>
          <w:rFonts w:asciiTheme="minorHAnsi" w:hAnsiTheme="minorHAnsi"/>
          <w:sz w:val="22"/>
          <w:szCs w:val="22"/>
        </w:rPr>
        <w:t xml:space="preserve"> 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ako útvar zabezpečujúci informovanie a komunikáciu na úrovni PD a OP TP (od 1.6.2016)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 w:rsidRPr="00EA7082">
        <w:rPr>
          <w:rFonts w:asciiTheme="minorHAnsi" w:hAnsiTheme="minorHAnsi"/>
          <w:sz w:val="22"/>
          <w:szCs w:val="22"/>
        </w:rPr>
        <w:t xml:space="preserve">Národný orgán, národný kontaktný bod pre programy nadnárodnej spolupráce pre cieľ Európskej územnej spolupráce </w:t>
      </w:r>
      <w:r>
        <w:rPr>
          <w:rFonts w:asciiTheme="minorHAnsi" w:hAnsiTheme="minorHAnsi"/>
          <w:sz w:val="22"/>
          <w:szCs w:val="22"/>
        </w:rPr>
        <w:t>(NO a NKB pre PNS a EÚS)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prvostupňovej kontroly programov nadnárodnej spolupráce</w:t>
      </w:r>
    </w:p>
    <w:p w:rsidR="00491051" w:rsidRPr="00575926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ako </w:t>
      </w:r>
      <w:r w:rsidRPr="003A1A27">
        <w:rPr>
          <w:rFonts w:asciiTheme="minorHAnsi" w:hAnsiTheme="minorHAnsi"/>
          <w:sz w:val="22"/>
          <w:szCs w:val="22"/>
        </w:rPr>
        <w:t>OCKÚ OLAF</w:t>
      </w:r>
    </w:p>
    <w:p w:rsidR="00491051" w:rsidRDefault="00491051" w:rsidP="00491051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8726EB" w:rsidRPr="008726EB" w:rsidRDefault="008726EB" w:rsidP="008726EB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EE719A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vnútra SR ako k</w:t>
      </w:r>
      <w:r w:rsidRPr="00CD1A3F">
        <w:rPr>
          <w:rFonts w:asciiTheme="minorHAnsi" w:hAnsiTheme="minorHAnsi"/>
          <w:sz w:val="22"/>
          <w:szCs w:val="22"/>
        </w:rPr>
        <w:t>oordinátor HP MRK</w:t>
      </w:r>
    </w:p>
    <w:p w:rsidR="00491051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Protimonopolný úrad</w:t>
      </w:r>
      <w:r w:rsidRPr="00CD1A3F">
        <w:rPr>
          <w:rFonts w:asciiTheme="minorHAnsi" w:hAnsiTheme="minorHAnsi"/>
          <w:sz w:val="22"/>
          <w:szCs w:val="22"/>
        </w:rPr>
        <w:t xml:space="preserve"> Slovenskej republiky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EE719A" w:rsidRDefault="00EE719A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koordinátor štátnej pomoci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 ako orgán pre ochranu hospodárskej súťaže</w:t>
      </w:r>
    </w:p>
    <w:p w:rsidR="00EE719A" w:rsidRPr="003939AC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Ministerstvo životného prostredia Slovenskej republiky ako koordinátor EIA pre EŠIF</w:t>
      </w:r>
    </w:p>
    <w:p w:rsidR="00EE719A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vládneho auditu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Úrad pre verejné obstarávanie</w:t>
      </w:r>
    </w:p>
    <w:p w:rsidR="00EE719A" w:rsidRDefault="00EE719A" w:rsidP="00EE719A">
      <w:pPr>
        <w:spacing w:after="0" w:line="240" w:lineRule="auto"/>
        <w:rPr>
          <w:rFonts w:asciiTheme="minorHAnsi" w:hAnsiTheme="minorHAnsi"/>
          <w:u w:val="single"/>
        </w:rPr>
      </w:pPr>
    </w:p>
    <w:p w:rsidR="00EE719A" w:rsidRPr="00E84989" w:rsidRDefault="00EE719A" w:rsidP="00EE719A">
      <w:pPr>
        <w:spacing w:before="240" w:after="240"/>
        <w:ind w:firstLine="360"/>
        <w:jc w:val="both"/>
        <w:rPr>
          <w:b/>
        </w:rPr>
      </w:pPr>
      <w:r w:rsidRPr="002E5BFD">
        <w:rPr>
          <w:b/>
        </w:rPr>
        <w:t>Aktivita</w:t>
      </w:r>
      <w:r w:rsidRPr="00E84989">
        <w:rPr>
          <w:b/>
        </w:rPr>
        <w:t xml:space="preserve"> 301010031A016 - I. Zber a spracovanie dát, prieskumy, štatistické zisťovanie</w:t>
      </w:r>
    </w:p>
    <w:p w:rsidR="00491051" w:rsidRPr="00CD1A3F" w:rsidRDefault="00491051" w:rsidP="00491051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Úrad vlády Slovenskej republiky:</w:t>
      </w:r>
    </w:p>
    <w:p w:rsidR="00491051" w:rsidRPr="00CD1A3F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centrálny koordinačný orgán</w:t>
      </w:r>
      <w:r>
        <w:rPr>
          <w:rFonts w:asciiTheme="minorHAnsi" w:hAnsiTheme="minorHAnsi"/>
          <w:sz w:val="22"/>
          <w:szCs w:val="22"/>
        </w:rPr>
        <w:t xml:space="preserve"> (do 31.5.2016)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 ako riadiaci orgán pre operačný program Technická pomoc</w:t>
      </w:r>
    </w:p>
    <w:p w:rsidR="00491051" w:rsidRP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491051">
        <w:rPr>
          <w:rFonts w:asciiTheme="minorHAnsi" w:hAnsiTheme="minorHAnsi"/>
          <w:sz w:val="22"/>
          <w:szCs w:val="22"/>
        </w:rPr>
        <w:t xml:space="preserve"> ako gestor HP UR (do 31.5.2016) 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stratégiu riadenia a vzdelávania AK EŠIF (od 15.5.2016)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útvar zabezpečujúci informovanie a komunikáciu na úrovni PD a OP TP (od 1.6.2016)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ako Inštitút pre stratégie a analýzy (od 15.5.2016)</w:t>
      </w:r>
    </w:p>
    <w:p w:rsidR="00491051" w:rsidRDefault="00491051" w:rsidP="00491051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EE719A">
        <w:rPr>
          <w:rFonts w:asciiTheme="minorHAnsi" w:hAnsiTheme="minorHAnsi"/>
          <w:sz w:val="22"/>
          <w:szCs w:val="22"/>
        </w:rPr>
        <w:t>Úrad podpredsedu vlády SR pre investície a</w:t>
      </w:r>
      <w:r>
        <w:rPr>
          <w:rFonts w:asciiTheme="minorHAnsi" w:hAnsiTheme="minorHAnsi"/>
          <w:sz w:val="22"/>
          <w:szCs w:val="22"/>
        </w:rPr>
        <w:t> </w:t>
      </w:r>
      <w:r w:rsidRPr="00EE719A">
        <w:rPr>
          <w:rFonts w:asciiTheme="minorHAnsi" w:hAnsiTheme="minorHAnsi"/>
          <w:sz w:val="22"/>
          <w:szCs w:val="22"/>
        </w:rPr>
        <w:t>informatizáciu</w:t>
      </w:r>
    </w:p>
    <w:p w:rsidR="00491051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centrálny koordinačný orgán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491051" w:rsidRPr="00EE719A" w:rsidRDefault="00491051" w:rsidP="00491051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>ako gestor HP UR</w:t>
      </w:r>
      <w:r>
        <w:rPr>
          <w:rFonts w:asciiTheme="minorHAnsi" w:hAnsiTheme="minorHAnsi"/>
          <w:sz w:val="22"/>
          <w:szCs w:val="22"/>
        </w:rPr>
        <w:t xml:space="preserve"> (od 1.6.2016)</w:t>
      </w:r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Ministerstvo práce, sociálnych vecí a rodiny SR ako gestor HP </w:t>
      </w:r>
      <w:proofErr w:type="spellStart"/>
      <w:r>
        <w:rPr>
          <w:rFonts w:asciiTheme="minorHAnsi" w:hAnsiTheme="minorHAnsi"/>
          <w:sz w:val="22"/>
          <w:szCs w:val="22"/>
        </w:rPr>
        <w:t>RM</w:t>
      </w:r>
      <w:r w:rsidRPr="00CD1A3F">
        <w:rPr>
          <w:rFonts w:asciiTheme="minorHAnsi" w:hAnsiTheme="minorHAnsi"/>
          <w:sz w:val="22"/>
          <w:szCs w:val="22"/>
        </w:rPr>
        <w:t>ŽaN</w:t>
      </w:r>
      <w:r>
        <w:rPr>
          <w:rFonts w:asciiTheme="minorHAnsi" w:hAnsiTheme="minorHAnsi"/>
          <w:sz w:val="22"/>
          <w:szCs w:val="22"/>
        </w:rPr>
        <w:t>D</w:t>
      </w:r>
      <w:proofErr w:type="spellEnd"/>
    </w:p>
    <w:p w:rsidR="00EE719A" w:rsidRPr="00CD1A3F" w:rsidRDefault="00EE719A" w:rsidP="00EE719A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financií</w:t>
      </w:r>
      <w:r w:rsidRPr="00CD1A3F">
        <w:rPr>
          <w:rFonts w:asciiTheme="minorHAnsi" w:hAnsiTheme="minorHAnsi"/>
          <w:sz w:val="22"/>
          <w:szCs w:val="22"/>
        </w:rPr>
        <w:t xml:space="preserve"> Slovenskej republiky:</w:t>
      </w:r>
    </w:p>
    <w:p w:rsidR="00EE719A" w:rsidRPr="00CD1A3F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 ako </w:t>
      </w:r>
      <w:r>
        <w:rPr>
          <w:rFonts w:asciiTheme="minorHAnsi" w:hAnsiTheme="minorHAnsi"/>
          <w:sz w:val="22"/>
          <w:szCs w:val="22"/>
        </w:rPr>
        <w:t>certifikačný orgán</w:t>
      </w:r>
    </w:p>
    <w:p w:rsidR="00EE719A" w:rsidRDefault="00EE719A" w:rsidP="00EE719A">
      <w:pPr>
        <w:pStyle w:val="Odsekzoznamu"/>
        <w:numPr>
          <w:ilvl w:val="1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 w:rsidRPr="00CD1A3F">
        <w:rPr>
          <w:rFonts w:asciiTheme="minorHAnsi" w:hAnsiTheme="minorHAnsi"/>
          <w:sz w:val="22"/>
          <w:szCs w:val="22"/>
        </w:rPr>
        <w:t xml:space="preserve"> ako </w:t>
      </w:r>
      <w:r>
        <w:rPr>
          <w:rFonts w:asciiTheme="minorHAnsi" w:hAnsiTheme="minorHAnsi"/>
          <w:sz w:val="22"/>
          <w:szCs w:val="22"/>
        </w:rPr>
        <w:t>orgán auditu</w:t>
      </w:r>
    </w:p>
    <w:p w:rsidR="00547592" w:rsidRDefault="00EE719A" w:rsidP="00491051">
      <w:pPr>
        <w:pStyle w:val="Odsekzoznamu"/>
        <w:numPr>
          <w:ilvl w:val="0"/>
          <w:numId w:val="7"/>
        </w:numPr>
        <w:spacing w:before="1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Štatistický úrad SR</w:t>
      </w:r>
    </w:p>
    <w:p w:rsidR="00491051" w:rsidRPr="00491051" w:rsidRDefault="00491051" w:rsidP="00491051">
      <w:pPr>
        <w:pStyle w:val="Odsekzoznamu"/>
        <w:spacing w:before="120"/>
        <w:rPr>
          <w:rFonts w:asciiTheme="minorHAnsi" w:hAnsiTheme="minorHAnsi"/>
          <w:sz w:val="22"/>
          <w:szCs w:val="22"/>
        </w:rPr>
      </w:pPr>
    </w:p>
    <w:p w:rsidR="00767303" w:rsidRDefault="00FE3E48" w:rsidP="00741FA1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 w:rsidR="00741FA1">
        <w:rPr>
          <w:u w:val="single"/>
        </w:rPr>
        <w:t xml:space="preserve">  </w:t>
      </w:r>
    </w:p>
    <w:p w:rsidR="00B92E05" w:rsidRDefault="00B92E05" w:rsidP="00741FA1">
      <w:pPr>
        <w:spacing w:before="240" w:after="240"/>
        <w:jc w:val="both"/>
        <w:rPr>
          <w:i/>
        </w:rPr>
      </w:pPr>
      <w:r w:rsidRPr="00B92E05">
        <w:rPr>
          <w:i/>
        </w:rPr>
        <w:t xml:space="preserve">V zmysle zákona 171/2016, ktorým sa mení a dopĺňa zákon č. </w:t>
      </w:r>
      <w:hyperlink r:id="rId9" w:tooltip="Odkaz na predpis alebo ustanovenie" w:history="1">
        <w:r w:rsidRPr="00B92E05">
          <w:rPr>
            <w:i/>
          </w:rPr>
          <w:t>575/2001 Z. z.</w:t>
        </w:r>
      </w:hyperlink>
      <w:r w:rsidRPr="00B92E05">
        <w:rPr>
          <w:i/>
        </w:rPr>
        <w:t xml:space="preserve"> o organizácii činnosti vlády a organizácii ústrednej štátnej správy v znení neskorších predpisov a ktorým sa menia a dopĺňajú niektoré zákony,  prešli pôsobnosti v oblasti koordinácie využívania finančných prostriedkov z fondov Európskej únie z Úradu vlády Slovenskej republiky na Úrad podpredsedu vlády Slovenskej </w:t>
      </w:r>
      <w:r w:rsidRPr="00B92E05">
        <w:rPr>
          <w:i/>
        </w:rPr>
        <w:lastRenderedPageBreak/>
        <w:t xml:space="preserve">republiky pre investície a informatizáciu od 1.6.2016. Od uvedeného dátumu </w:t>
      </w:r>
      <w:r>
        <w:rPr>
          <w:i/>
        </w:rPr>
        <w:t>je</w:t>
      </w:r>
      <w:r w:rsidRPr="00B92E05">
        <w:rPr>
          <w:i/>
        </w:rPr>
        <w:t xml:space="preserve"> oprávneným prijímateľom aj Úrad podpredsedu vlády Slovenskej republiky pre investície a informatizáciu, v ktorého kompetencii budú úlohy centrálneho koordinačného orgánu. </w:t>
      </w:r>
    </w:p>
    <w:p w:rsidR="00741FA1" w:rsidRDefault="00B92E05" w:rsidP="00741FA1">
      <w:pPr>
        <w:spacing w:before="240" w:after="240"/>
        <w:jc w:val="both"/>
        <w:rPr>
          <w:i/>
        </w:rPr>
      </w:pPr>
      <w:r w:rsidRPr="00B92E05">
        <w:rPr>
          <w:i/>
        </w:rPr>
        <w:t xml:space="preserve">V nadväznosti na </w:t>
      </w:r>
      <w:r>
        <w:rPr>
          <w:i/>
        </w:rPr>
        <w:t xml:space="preserve">uvedené </w:t>
      </w:r>
      <w:r w:rsidRPr="00B92E05">
        <w:rPr>
          <w:i/>
        </w:rPr>
        <w:t>d</w:t>
      </w:r>
      <w:r>
        <w:rPr>
          <w:i/>
        </w:rPr>
        <w:t>ošlo</w:t>
      </w:r>
      <w:r w:rsidRPr="00B92E05">
        <w:rPr>
          <w:i/>
        </w:rPr>
        <w:t xml:space="preserve"> aj k oddeleniu činností napr. v oblasti informovania a publicity EŠIF, vzdelávania a stratégie riadenia administratívnych kapacít EŠIF od centrálneho koordinačného orgánu, pričom tieto činnosti bude naďalej zabezpečovať ÚV SR. </w:t>
      </w:r>
    </w:p>
    <w:p w:rsidR="00B92E05" w:rsidRDefault="00B92E05" w:rsidP="00741FA1">
      <w:pPr>
        <w:spacing w:before="240" w:after="240"/>
        <w:jc w:val="both"/>
        <w:rPr>
          <w:i/>
        </w:rPr>
      </w:pPr>
      <w:r>
        <w:rPr>
          <w:i/>
        </w:rPr>
        <w:t xml:space="preserve">Dňa 25.5.2016 bola na národnej úrovni schválená verzia 3.1 OP TP, v rámci ktorej došlo k rozšíreniu okruhu oprávnených prijímateľov pre jednotlivé aktivity v rámci špecifického cieľa 3. </w:t>
      </w:r>
    </w:p>
    <w:p w:rsidR="00B92E05" w:rsidRDefault="00B92E05" w:rsidP="00741FA1">
      <w:pPr>
        <w:spacing w:before="240" w:after="240"/>
        <w:jc w:val="both"/>
        <w:rPr>
          <w:i/>
        </w:rPr>
      </w:pPr>
      <w:r>
        <w:rPr>
          <w:i/>
        </w:rPr>
        <w:t>Zmena vyzvania zohľadňuje všetky tieto zmeny v subjektoch.</w:t>
      </w:r>
    </w:p>
    <w:p w:rsidR="00774486" w:rsidRPr="00663983" w:rsidRDefault="00774486" w:rsidP="00774486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767303" w:rsidRPr="00056C21" w:rsidRDefault="00767303" w:rsidP="00056C21">
      <w:pPr>
        <w:pStyle w:val="Odsekzoznamu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 w:rsidRPr="00056C21">
        <w:rPr>
          <w:rFonts w:asciiTheme="minorHAnsi" w:hAnsiTheme="minorHAnsi"/>
          <w:bCs/>
          <w:sz w:val="22"/>
          <w:szCs w:val="22"/>
        </w:rPr>
        <w:t xml:space="preserve">V časti </w:t>
      </w:r>
      <w:r w:rsidRPr="00D77B6A">
        <w:rPr>
          <w:rFonts w:asciiTheme="minorHAnsi" w:hAnsiTheme="minorHAnsi"/>
          <w:b/>
          <w:bCs/>
          <w:sz w:val="22"/>
          <w:szCs w:val="22"/>
        </w:rPr>
        <w:t>3</w:t>
      </w:r>
      <w:r w:rsidR="00D77B6A" w:rsidRPr="00D77B6A">
        <w:rPr>
          <w:rFonts w:asciiTheme="minorHAnsi" w:hAnsiTheme="minorHAnsi"/>
          <w:b/>
          <w:bCs/>
          <w:sz w:val="22"/>
          <w:szCs w:val="22"/>
        </w:rPr>
        <w:t>.</w:t>
      </w:r>
      <w:r w:rsidRPr="00D77B6A">
        <w:rPr>
          <w:rFonts w:asciiTheme="minorHAnsi" w:hAnsiTheme="minorHAnsi"/>
          <w:b/>
          <w:bCs/>
          <w:sz w:val="22"/>
          <w:szCs w:val="22"/>
        </w:rPr>
        <w:t xml:space="preserve"> Overovanie podmienok poskytnutia príspevku a ďalšie informácie</w:t>
      </w:r>
    </w:p>
    <w:p w:rsidR="00056C21" w:rsidRPr="00056C21" w:rsidRDefault="00767303" w:rsidP="00056C21">
      <w:pPr>
        <w:spacing w:before="120"/>
        <w:rPr>
          <w:rFonts w:asciiTheme="minorHAnsi" w:hAnsiTheme="minorHAnsi"/>
          <w:color w:val="000000"/>
        </w:rPr>
      </w:pPr>
      <w:r w:rsidRPr="00056C21">
        <w:rPr>
          <w:rFonts w:asciiTheme="minorHAnsi" w:hAnsiTheme="minorHAnsi"/>
          <w:color w:val="000000"/>
        </w:rPr>
        <w:t xml:space="preserve">RO OP TP doplnil </w:t>
      </w:r>
      <w:r w:rsidR="003D0883">
        <w:rPr>
          <w:rFonts w:asciiTheme="minorHAnsi" w:hAnsiTheme="minorHAnsi"/>
          <w:color w:val="000000"/>
        </w:rPr>
        <w:t xml:space="preserve">v časti </w:t>
      </w:r>
      <w:r w:rsidR="003D0883" w:rsidRPr="00003779">
        <w:rPr>
          <w:b/>
          <w:u w:val="single"/>
        </w:rPr>
        <w:t>Informácia o príspevku k horizontáln</w:t>
      </w:r>
      <w:r w:rsidR="003D0883">
        <w:rPr>
          <w:b/>
          <w:u w:val="single"/>
        </w:rPr>
        <w:t>ym</w:t>
      </w:r>
      <w:r w:rsidR="003D0883" w:rsidRPr="00003779">
        <w:rPr>
          <w:b/>
          <w:u w:val="single"/>
        </w:rPr>
        <w:t xml:space="preserve"> princíp</w:t>
      </w:r>
      <w:r w:rsidR="003D0883">
        <w:rPr>
          <w:b/>
          <w:u w:val="single"/>
        </w:rPr>
        <w:t>om</w:t>
      </w:r>
      <w:r w:rsidR="003D0883" w:rsidRPr="00003779">
        <w:rPr>
          <w:b/>
          <w:u w:val="single"/>
        </w:rPr>
        <w:t xml:space="preserve"> rovnosť mužov a žien a</w:t>
      </w:r>
      <w:r w:rsidR="003D0883">
        <w:rPr>
          <w:b/>
          <w:u w:val="single"/>
        </w:rPr>
        <w:t> </w:t>
      </w:r>
      <w:r w:rsidR="003D0883" w:rsidRPr="00003779">
        <w:rPr>
          <w:b/>
          <w:u w:val="single"/>
        </w:rPr>
        <w:t>nediskriminácia</w:t>
      </w:r>
      <w:r w:rsidR="003D0883">
        <w:rPr>
          <w:b/>
          <w:u w:val="single"/>
        </w:rPr>
        <w:t xml:space="preserve"> </w:t>
      </w:r>
      <w:r w:rsidR="003D0883" w:rsidRPr="003D0883">
        <w:rPr>
          <w:rFonts w:asciiTheme="minorHAnsi" w:hAnsiTheme="minorHAnsi"/>
          <w:color w:val="000000"/>
        </w:rPr>
        <w:t xml:space="preserve">nasledovný </w:t>
      </w:r>
      <w:proofErr w:type="spellStart"/>
      <w:r w:rsidR="003D0883" w:rsidRPr="003D0883">
        <w:rPr>
          <w:rFonts w:asciiTheme="minorHAnsi" w:hAnsiTheme="minorHAnsi"/>
          <w:color w:val="000000"/>
        </w:rPr>
        <w:t>odstavec</w:t>
      </w:r>
      <w:proofErr w:type="spellEnd"/>
      <w:r w:rsidR="00056C21" w:rsidRPr="00056C21">
        <w:rPr>
          <w:rFonts w:asciiTheme="minorHAnsi" w:hAnsiTheme="minorHAnsi"/>
          <w:color w:val="000000"/>
        </w:rPr>
        <w:t>:</w:t>
      </w:r>
    </w:p>
    <w:p w:rsidR="00767303" w:rsidRDefault="00056C21" w:rsidP="003D0883">
      <w:pPr>
        <w:pStyle w:val="Obyajntext"/>
        <w:jc w:val="both"/>
      </w:pPr>
      <w:r>
        <w:t>„</w:t>
      </w:r>
      <w:r w:rsidR="003D0883" w:rsidRPr="00861C36">
        <w:t>V súvislosti s t</w:t>
      </w:r>
      <w:r w:rsidR="003D0883">
        <w:t>ýmto</w:t>
      </w:r>
      <w:r w:rsidR="003D0883" w:rsidRPr="00861C36">
        <w:t xml:space="preserve"> v</w:t>
      </w:r>
      <w:r w:rsidR="003D0883">
        <w:t>yzvaním</w:t>
      </w:r>
      <w:r w:rsidR="003D0883" w:rsidRPr="00861C36">
        <w:t xml:space="preserve"> je </w:t>
      </w:r>
      <w:r w:rsidR="003D0883">
        <w:t xml:space="preserve">však </w:t>
      </w:r>
      <w:r w:rsidR="003D0883" w:rsidRPr="00861C36">
        <w:t>potrebné</w:t>
      </w:r>
      <w:r w:rsidR="003D0883">
        <w:t xml:space="preserve"> upozorniť osobitne na to, aby v rámci oprávnených aktivít tohto vyzvania bola zabezpečená prístupnosť k informačným systémom pre znevýhodnené skupiny splnením požiadaviek definovaných vo Výnose MF SR č. 55/2014 </w:t>
      </w:r>
      <w:proofErr w:type="spellStart"/>
      <w:r w:rsidR="003D0883">
        <w:t>Z.z</w:t>
      </w:r>
      <w:proofErr w:type="spellEnd"/>
      <w:r w:rsidR="003D0883">
        <w:t xml:space="preserve">. o štandardoch pre informačné systémy verejnej správy, ako aj zabezpečená prístupnosť pre osoby so zdravotným postihnutím v prípade vykonávania rekonštrukcií priestorov v súlade s Vyhláškou MŽP SR </w:t>
      </w:r>
      <w:r w:rsidR="003D0883">
        <w:br/>
        <w:t>č. 532/2002, ktorou sa ustanovujú podrobnosti o všeobecných technických požiadavkách na výstavbu a o všeobecných technických požiadavkách na stavby užívané osobami s obmedzenou schopnosťou pohybu a orientácie.</w:t>
      </w:r>
      <w:r>
        <w:t>“</w:t>
      </w:r>
    </w:p>
    <w:p w:rsidR="003D0883" w:rsidRDefault="003D0883" w:rsidP="003D0883">
      <w:pPr>
        <w:pStyle w:val="Obyajntext"/>
        <w:jc w:val="both"/>
      </w:pPr>
    </w:p>
    <w:p w:rsidR="00E868CE" w:rsidRPr="00741FA1" w:rsidRDefault="00E868CE" w:rsidP="00E868CE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E868CE" w:rsidRPr="00767303" w:rsidRDefault="00E868CE" w:rsidP="00190281">
      <w:pPr>
        <w:spacing w:before="120"/>
        <w:jc w:val="both"/>
        <w:rPr>
          <w:i/>
        </w:rPr>
      </w:pPr>
      <w:r w:rsidRPr="00767303">
        <w:rPr>
          <w:i/>
        </w:rPr>
        <w:t xml:space="preserve">RO OP TP </w:t>
      </w:r>
      <w:r w:rsidR="00A133E3">
        <w:rPr>
          <w:i/>
        </w:rPr>
        <w:t xml:space="preserve">doplnil </w:t>
      </w:r>
      <w:r w:rsidR="001D5E8A">
        <w:rPr>
          <w:i/>
        </w:rPr>
        <w:t xml:space="preserve">informáciu pre žiadateľa </w:t>
      </w:r>
      <w:r w:rsidR="00A133E3">
        <w:rPr>
          <w:i/>
        </w:rPr>
        <w:t xml:space="preserve">na základe požiadavky gestora HP </w:t>
      </w:r>
      <w:proofErr w:type="spellStart"/>
      <w:r w:rsidR="00A133E3">
        <w:rPr>
          <w:i/>
        </w:rPr>
        <w:t>RMŽaND</w:t>
      </w:r>
      <w:proofErr w:type="spellEnd"/>
      <w:r w:rsidRPr="00767303">
        <w:rPr>
          <w:i/>
        </w:rPr>
        <w:t>.</w:t>
      </w:r>
    </w:p>
    <w:p w:rsidR="001D5E8A" w:rsidRDefault="001D5E8A" w:rsidP="001D5E8A">
      <w:pPr>
        <w:spacing w:before="240" w:after="240"/>
        <w:jc w:val="both"/>
        <w:rPr>
          <w:b/>
          <w:u w:val="single"/>
        </w:rPr>
      </w:pPr>
      <w:r w:rsidRPr="00056C21">
        <w:rPr>
          <w:rFonts w:asciiTheme="minorHAnsi" w:hAnsiTheme="minorHAnsi"/>
          <w:color w:val="000000"/>
        </w:rPr>
        <w:t xml:space="preserve">RO OP TP </w:t>
      </w:r>
      <w:r>
        <w:rPr>
          <w:rFonts w:asciiTheme="minorHAnsi" w:hAnsiTheme="minorHAnsi"/>
          <w:color w:val="000000"/>
        </w:rPr>
        <w:t>upravil</w:t>
      </w:r>
      <w:r w:rsidRPr="00056C21">
        <w:rPr>
          <w:rFonts w:asciiTheme="minorHAnsi" w:hAnsiTheme="minorHAnsi"/>
          <w:color w:val="000000"/>
        </w:rPr>
        <w:t xml:space="preserve"> </w:t>
      </w:r>
      <w:r>
        <w:rPr>
          <w:rFonts w:asciiTheme="minorHAnsi" w:hAnsiTheme="minorHAnsi"/>
          <w:color w:val="000000"/>
        </w:rPr>
        <w:t xml:space="preserve">v časti </w:t>
      </w:r>
      <w:r w:rsidRPr="00317420">
        <w:rPr>
          <w:b/>
          <w:u w:val="single"/>
        </w:rPr>
        <w:t>Príprava zmluvy o</w:t>
      </w:r>
      <w:r>
        <w:rPr>
          <w:b/>
          <w:u w:val="single"/>
        </w:rPr>
        <w:t xml:space="preserve"> poskytnutí </w:t>
      </w:r>
      <w:r w:rsidRPr="00317420">
        <w:rPr>
          <w:b/>
          <w:u w:val="single"/>
        </w:rPr>
        <w:t>NFP</w:t>
      </w:r>
    </w:p>
    <w:p w:rsidR="001D5E8A" w:rsidRDefault="001D5E8A" w:rsidP="001D5E8A">
      <w:pPr>
        <w:spacing w:before="240" w:after="240"/>
        <w:ind w:firstLine="360"/>
        <w:jc w:val="both"/>
      </w:pPr>
      <w:r w:rsidRPr="001132F4">
        <w:t>V prípade, ak je prij</w:t>
      </w:r>
      <w:r>
        <w:t>ímateľ a RO OP TP tá istá osoba</w:t>
      </w:r>
      <w:r w:rsidRPr="001132F4">
        <w:t>, Zmluva o</w:t>
      </w:r>
      <w:r>
        <w:t xml:space="preserve"> poskytnutí </w:t>
      </w:r>
      <w:r w:rsidRPr="001132F4">
        <w:t>NFP sa n</w:t>
      </w:r>
      <w:r>
        <w:t xml:space="preserve">euzatvára a práva a povinnosti </w:t>
      </w:r>
      <w:r w:rsidRPr="001132F4">
        <w:t xml:space="preserve">sú upravené rozhodnutím o schválení </w:t>
      </w:r>
      <w:proofErr w:type="spellStart"/>
      <w:r w:rsidRPr="001132F4">
        <w:t>ŽoNFP</w:t>
      </w:r>
      <w:proofErr w:type="spellEnd"/>
      <w:r w:rsidRPr="001132F4">
        <w:t xml:space="preserve">. </w:t>
      </w:r>
      <w:r w:rsidRPr="00773D2F">
        <w:t xml:space="preserve">Rozhodnutie o schválení </w:t>
      </w:r>
      <w:proofErr w:type="spellStart"/>
      <w:r w:rsidRPr="00773D2F">
        <w:t>ŽoNFP</w:t>
      </w:r>
      <w:proofErr w:type="spellEnd"/>
      <w:r w:rsidRPr="00773D2F">
        <w:t xml:space="preserve"> nadobúda </w:t>
      </w:r>
      <w:r w:rsidRPr="007D627F">
        <w:t>účinnosť</w:t>
      </w:r>
      <w:r>
        <w:t xml:space="preserve"> </w:t>
      </w:r>
      <w:r w:rsidRPr="007D627F">
        <w:t xml:space="preserve">v momente, keď nadobudne právoplatnosť podľa paragrafu 52 odsek 1 zákona </w:t>
      </w:r>
      <w:r>
        <w:br/>
        <w:t>č</w:t>
      </w:r>
      <w:r w:rsidRPr="007D627F">
        <w:t>. 71/1967 Zb. o správnom konaní</w:t>
      </w:r>
      <w:r w:rsidR="007B7E50">
        <w:t xml:space="preserve"> </w:t>
      </w:r>
      <w:r w:rsidR="007B7E50">
        <w:t>(Správny poriadok) v znení neskorších predpisov</w:t>
      </w:r>
      <w:r w:rsidR="007B7E50" w:rsidRPr="00773D2F">
        <w:t>.</w:t>
      </w:r>
      <w:r w:rsidRPr="00773D2F">
        <w:t>.</w:t>
      </w:r>
    </w:p>
    <w:p w:rsidR="001D5E8A" w:rsidRPr="00773D2F" w:rsidRDefault="001D5E8A" w:rsidP="001D5E8A">
      <w:pPr>
        <w:spacing w:before="240" w:after="240"/>
        <w:ind w:firstLine="360"/>
        <w:jc w:val="both"/>
      </w:pPr>
      <w:r>
        <w:t>Právny nárok na poskytnutie príspevku vzniká nadobudnutím účinnosti zmluvy o NFP alebo nadobudnutím právoplatnosti Rozhodnutia, ak je prijímateľ a RO OP TP tá istá osoba.</w:t>
      </w:r>
    </w:p>
    <w:p w:rsidR="001D5E8A" w:rsidRPr="00741FA1" w:rsidRDefault="001D5E8A" w:rsidP="001D5E8A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1D5E8A" w:rsidRDefault="001D5E8A" w:rsidP="001D5E8A">
      <w:pPr>
        <w:spacing w:before="120"/>
        <w:jc w:val="both"/>
        <w:rPr>
          <w:i/>
        </w:rPr>
      </w:pPr>
      <w:r w:rsidRPr="00767303">
        <w:rPr>
          <w:i/>
        </w:rPr>
        <w:t xml:space="preserve">RO OP TP </w:t>
      </w:r>
      <w:r>
        <w:rPr>
          <w:i/>
        </w:rPr>
        <w:t>upravil znenie v zmysle platného Systému riadenia EŠIF</w:t>
      </w:r>
      <w:r w:rsidRPr="00767303">
        <w:rPr>
          <w:i/>
        </w:rPr>
        <w:t>.</w:t>
      </w:r>
    </w:p>
    <w:p w:rsidR="00774486" w:rsidRPr="00663983" w:rsidRDefault="00774486" w:rsidP="00774486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930453" w:rsidRPr="003950FD" w:rsidRDefault="00774486" w:rsidP="00774486">
      <w:pPr>
        <w:pStyle w:val="Odsekzoznamu"/>
        <w:numPr>
          <w:ilvl w:val="0"/>
          <w:numId w:val="30"/>
        </w:numPr>
        <w:rPr>
          <w:rFonts w:asciiTheme="minorHAnsi" w:hAnsiTheme="minorHAnsi"/>
          <w:bCs/>
          <w:sz w:val="22"/>
          <w:szCs w:val="22"/>
        </w:rPr>
      </w:pPr>
      <w:r w:rsidRPr="00056C21">
        <w:rPr>
          <w:rFonts w:asciiTheme="minorHAnsi" w:hAnsiTheme="minorHAnsi"/>
          <w:bCs/>
          <w:sz w:val="22"/>
          <w:szCs w:val="22"/>
        </w:rPr>
        <w:t xml:space="preserve">V časti </w:t>
      </w:r>
      <w:r w:rsidR="00930453" w:rsidRPr="00774486">
        <w:rPr>
          <w:rFonts w:asciiTheme="minorHAnsi" w:hAnsiTheme="minorHAnsi"/>
          <w:b/>
          <w:bCs/>
          <w:sz w:val="22"/>
          <w:szCs w:val="22"/>
        </w:rPr>
        <w:t>Príloha č. 2 vyzvania - Zoznam povinných merateľných ukazovateľov</w:t>
      </w:r>
    </w:p>
    <w:p w:rsidR="003950FD" w:rsidRPr="00E92434" w:rsidRDefault="00E92434" w:rsidP="00032161">
      <w:pPr>
        <w:jc w:val="both"/>
      </w:pPr>
      <w:r w:rsidRPr="00E92434">
        <w:lastRenderedPageBreak/>
        <w:t xml:space="preserve">RO OP TP doplnil informáciu pre žiadateľa </w:t>
      </w:r>
      <w:r>
        <w:t xml:space="preserve">o relevancii ukazovateľov k HP </w:t>
      </w:r>
      <w:proofErr w:type="spellStart"/>
      <w:r>
        <w:t>RMŽaND</w:t>
      </w:r>
      <w:proofErr w:type="spellEnd"/>
      <w:r>
        <w:t xml:space="preserve"> a možnosti uplatnenia príznaku rizika k ukazovateľom.</w:t>
      </w:r>
    </w:p>
    <w:p w:rsidR="00E92434" w:rsidRPr="00741FA1" w:rsidRDefault="00E92434" w:rsidP="00E92434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E92434" w:rsidRDefault="00E92434" w:rsidP="00E92434">
      <w:pPr>
        <w:spacing w:before="120"/>
        <w:jc w:val="both"/>
        <w:rPr>
          <w:i/>
        </w:rPr>
      </w:pPr>
      <w:r w:rsidRPr="00767303">
        <w:rPr>
          <w:i/>
        </w:rPr>
        <w:t xml:space="preserve">RO OP TP </w:t>
      </w:r>
      <w:r>
        <w:rPr>
          <w:i/>
        </w:rPr>
        <w:t xml:space="preserve">upravil znenie </w:t>
      </w:r>
      <w:r w:rsidRPr="00E92434">
        <w:rPr>
          <w:i/>
        </w:rPr>
        <w:t>v zmysle aktualizácie číselníka merateľných ukazovateľov</w:t>
      </w:r>
      <w:r>
        <w:rPr>
          <w:i/>
        </w:rPr>
        <w:t xml:space="preserve"> a potreby rozšírenej informácie pre žiadateľov</w:t>
      </w:r>
      <w:r w:rsidRPr="00767303">
        <w:rPr>
          <w:i/>
        </w:rPr>
        <w:t>.</w:t>
      </w:r>
    </w:p>
    <w:p w:rsidR="00ED7F00" w:rsidRPr="00663983" w:rsidRDefault="00ED7F00" w:rsidP="00ED7F00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0C497E" w:rsidRPr="000C497E" w:rsidRDefault="000C497E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6A45B7">
        <w:rPr>
          <w:b/>
          <w:color w:val="000000"/>
        </w:rPr>
        <w:t>9</w:t>
      </w:r>
      <w:bookmarkStart w:id="0" w:name="_GoBack"/>
      <w:bookmarkEnd w:id="0"/>
      <w:r w:rsidRPr="000C497E">
        <w:rPr>
          <w:b/>
          <w:color w:val="000000"/>
        </w:rPr>
        <w:t>.</w:t>
      </w:r>
      <w:r w:rsidR="00ED3EDE">
        <w:rPr>
          <w:b/>
          <w:color w:val="000000"/>
        </w:rPr>
        <w:t>6</w:t>
      </w:r>
      <w:r w:rsidRPr="000C497E">
        <w:rPr>
          <w:b/>
          <w:color w:val="000000"/>
        </w:rPr>
        <w:t>.2016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 xml:space="preserve">sa vzťahujú aj na </w:t>
      </w:r>
      <w:proofErr w:type="spellStart"/>
      <w:r>
        <w:rPr>
          <w:rFonts w:asciiTheme="minorHAnsi" w:hAnsiTheme="minorHAnsi"/>
          <w:color w:val="000000"/>
        </w:rPr>
        <w:t>ŽoNFP</w:t>
      </w:r>
      <w:proofErr w:type="spellEnd"/>
      <w:r>
        <w:rPr>
          <w:rFonts w:asciiTheme="minorHAnsi" w:hAnsiTheme="minorHAnsi"/>
          <w:color w:val="000000"/>
        </w:rPr>
        <w:t xml:space="preserve"> predložené pred dátumom účinnosti zmeny, o ktorých ešte RO OP TP nerozhodol do dátumu vykonania zmeny.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10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454ADA" w:rsidRDefault="00454ADA" w:rsidP="00190281">
      <w:pPr>
        <w:spacing w:before="120"/>
        <w:jc w:val="both"/>
        <w:rPr>
          <w:rStyle w:val="Hypertextovprepojenie"/>
        </w:rPr>
      </w:pPr>
    </w:p>
    <w:p w:rsidR="003B3FFB" w:rsidRPr="00056C21" w:rsidRDefault="00454ADA" w:rsidP="00B0119F">
      <w:pPr>
        <w:spacing w:before="120"/>
        <w:jc w:val="both"/>
        <w:rPr>
          <w:rFonts w:asciiTheme="minorHAnsi" w:hAnsiTheme="minorHAnsi"/>
          <w:color w:val="000000"/>
        </w:rPr>
      </w:pPr>
      <w:r w:rsidRPr="00144148">
        <w:rPr>
          <w:rFonts w:asciiTheme="minorHAnsi" w:hAnsiTheme="minorHAnsi"/>
          <w:color w:val="000000"/>
          <w:u w:val="single"/>
        </w:rPr>
        <w:t xml:space="preserve">Príloha  – </w:t>
      </w:r>
      <w:r w:rsidR="003950FD">
        <w:rPr>
          <w:rFonts w:asciiTheme="minorHAnsi" w:hAnsiTheme="minorHAnsi"/>
          <w:color w:val="000000"/>
          <w:u w:val="single"/>
        </w:rPr>
        <w:t>Zoznam povinných merateľných ukazovateľov</w:t>
      </w:r>
    </w:p>
    <w:sectPr w:rsidR="003B3FFB" w:rsidRPr="00056C21" w:rsidSect="00F4420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45B7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D131BD" wp14:editId="476E018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3D077B" wp14:editId="5A54F46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FBA6F77" wp14:editId="1E52F6C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29"/>
  </w:num>
  <w:num w:numId="6">
    <w:abstractNumId w:val="10"/>
  </w:num>
  <w:num w:numId="7">
    <w:abstractNumId w:val="19"/>
  </w:num>
  <w:num w:numId="8">
    <w:abstractNumId w:val="28"/>
  </w:num>
  <w:num w:numId="9">
    <w:abstractNumId w:val="21"/>
  </w:num>
  <w:num w:numId="10">
    <w:abstractNumId w:val="18"/>
  </w:num>
  <w:num w:numId="11">
    <w:abstractNumId w:val="17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23"/>
  </w:num>
  <w:num w:numId="18">
    <w:abstractNumId w:val="26"/>
  </w:num>
  <w:num w:numId="19">
    <w:abstractNumId w:val="8"/>
  </w:num>
  <w:num w:numId="20">
    <w:abstractNumId w:val="24"/>
  </w:num>
  <w:num w:numId="21">
    <w:abstractNumId w:val="9"/>
  </w:num>
  <w:num w:numId="22">
    <w:abstractNumId w:val="14"/>
  </w:num>
  <w:num w:numId="23">
    <w:abstractNumId w:val="20"/>
  </w:num>
  <w:num w:numId="24">
    <w:abstractNumId w:val="7"/>
  </w:num>
  <w:num w:numId="25">
    <w:abstractNumId w:val="13"/>
  </w:num>
  <w:num w:numId="26">
    <w:abstractNumId w:val="2"/>
  </w:num>
  <w:num w:numId="27">
    <w:abstractNumId w:val="27"/>
  </w:num>
  <w:num w:numId="28">
    <w:abstractNumId w:val="1"/>
  </w:num>
  <w:num w:numId="29">
    <w:abstractNumId w:val="1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32161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44148"/>
    <w:rsid w:val="001508E8"/>
    <w:rsid w:val="001760A1"/>
    <w:rsid w:val="00182A12"/>
    <w:rsid w:val="00190281"/>
    <w:rsid w:val="001A48D2"/>
    <w:rsid w:val="001A4AA9"/>
    <w:rsid w:val="001B07A5"/>
    <w:rsid w:val="001B1585"/>
    <w:rsid w:val="001D1654"/>
    <w:rsid w:val="001D5E8A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CB1"/>
    <w:rsid w:val="002777A8"/>
    <w:rsid w:val="00286AE6"/>
    <w:rsid w:val="002952E1"/>
    <w:rsid w:val="00296481"/>
    <w:rsid w:val="002A5D16"/>
    <w:rsid w:val="002B3A70"/>
    <w:rsid w:val="002C5B67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91763"/>
    <w:rsid w:val="003950FD"/>
    <w:rsid w:val="003A2C31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91051"/>
    <w:rsid w:val="00496D8C"/>
    <w:rsid w:val="004A3880"/>
    <w:rsid w:val="004A420E"/>
    <w:rsid w:val="004F1AED"/>
    <w:rsid w:val="004F35ED"/>
    <w:rsid w:val="00520D75"/>
    <w:rsid w:val="005236E4"/>
    <w:rsid w:val="00547592"/>
    <w:rsid w:val="00555B34"/>
    <w:rsid w:val="00556BC9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81E8D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B0119F"/>
    <w:rsid w:val="00B4267B"/>
    <w:rsid w:val="00B517DF"/>
    <w:rsid w:val="00B51B6F"/>
    <w:rsid w:val="00B534C5"/>
    <w:rsid w:val="00B66BB3"/>
    <w:rsid w:val="00B731F7"/>
    <w:rsid w:val="00B81AA1"/>
    <w:rsid w:val="00B822E1"/>
    <w:rsid w:val="00B92E05"/>
    <w:rsid w:val="00BA06FA"/>
    <w:rsid w:val="00BE48FD"/>
    <w:rsid w:val="00BE588D"/>
    <w:rsid w:val="00C02E58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46A6"/>
    <w:rsid w:val="00D95256"/>
    <w:rsid w:val="00DB0E80"/>
    <w:rsid w:val="00DC5798"/>
    <w:rsid w:val="00DC6870"/>
    <w:rsid w:val="00DE11D5"/>
    <w:rsid w:val="00DE151E"/>
    <w:rsid w:val="00DF361F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4219"/>
    <w:rsid w:val="00F048A3"/>
    <w:rsid w:val="00F1158C"/>
    <w:rsid w:val="00F14B1F"/>
    <w:rsid w:val="00F4420F"/>
    <w:rsid w:val="00F47EA2"/>
    <w:rsid w:val="00F622D4"/>
    <w:rsid w:val="00F70989"/>
    <w:rsid w:val="00F875B0"/>
    <w:rsid w:val="00F97977"/>
    <w:rsid w:val="00FB04BF"/>
    <w:rsid w:val="00FB5F38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optp.vlada.gov.s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slov-lex.sk/pravne-predpisy/SK/ZZ/2001/575/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FFA6F-E9A1-410A-B174-917EAB33C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2016-03-08T07:10:00Z</dcterms:created>
  <dcterms:modified xsi:type="dcterms:W3CDTF">2016-06-08T06:01:00Z</dcterms:modified>
</cp:coreProperties>
</file>