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E16" w:rsidRDefault="003B3454">
      <w:pPr>
        <w:pStyle w:val="Hlavika"/>
      </w:pPr>
      <w:bookmarkStart w:id="0" w:name="_GoBack"/>
      <w:bookmarkEnd w:id="0"/>
      <w:r>
        <w:t>Príloha č. 4 rozhodnutia o schválení žiadosti o poskytnutí nenávratného finančného príspevku</w:t>
      </w:r>
    </w:p>
    <w:p w:rsidR="00003DC1" w:rsidRDefault="00974237" w:rsidP="00003DC1">
      <w:pPr>
        <w:spacing w:before="240" w:after="240"/>
        <w:jc w:val="both"/>
        <w:rPr>
          <w:sz w:val="22"/>
          <w:szCs w:val="22"/>
          <w:lang w:eastAsia="cs-CZ"/>
        </w:rPr>
      </w:pPr>
      <w:r>
        <w:rPr>
          <w:sz w:val="22"/>
          <w:szCs w:val="22"/>
          <w:lang w:eastAsia="cs-CZ"/>
        </w:rPr>
        <w:t xml:space="preserve">Táto príloha rozhodnutia o schválení žiadosti o NFP </w:t>
      </w:r>
      <w:r w:rsidR="00003DC1">
        <w:rPr>
          <w:sz w:val="22"/>
          <w:szCs w:val="22"/>
          <w:lang w:eastAsia="cs-CZ"/>
        </w:rPr>
        <w:t>slúži na u</w:t>
      </w:r>
      <w:r w:rsidR="00003DC1" w:rsidRPr="007C3E78">
        <w:rPr>
          <w:sz w:val="22"/>
          <w:szCs w:val="22"/>
          <w:lang w:eastAsia="cs-CZ"/>
        </w:rPr>
        <w:t>rčovanie výšky vrátenia poskytnutého príspevku alebo jeho časti</w:t>
      </w:r>
      <w:r w:rsidR="00003DC1">
        <w:rPr>
          <w:sz w:val="22"/>
          <w:szCs w:val="22"/>
          <w:lang w:eastAsia="cs-CZ"/>
        </w:rPr>
        <w:t xml:space="preserve">, alebo </w:t>
      </w:r>
      <w:proofErr w:type="spellStart"/>
      <w:r w:rsidR="00003DC1">
        <w:rPr>
          <w:sz w:val="22"/>
          <w:szCs w:val="22"/>
          <w:lang w:eastAsia="cs-CZ"/>
        </w:rPr>
        <w:t>ex-ante</w:t>
      </w:r>
      <w:proofErr w:type="spellEnd"/>
      <w:r w:rsidR="00003DC1">
        <w:rPr>
          <w:sz w:val="22"/>
          <w:szCs w:val="22"/>
          <w:lang w:eastAsia="cs-CZ"/>
        </w:rPr>
        <w:t xml:space="preserve"> finančné opravy</w:t>
      </w:r>
      <w:r w:rsidR="00003DC1" w:rsidRPr="007C3E78">
        <w:rPr>
          <w:sz w:val="22"/>
          <w:szCs w:val="22"/>
          <w:lang w:eastAsia="cs-CZ"/>
        </w:rPr>
        <w:t xml:space="preserve"> v nadväznosti na zistené porušenie pravidiel a postupov verejného obstarávania v zmysle zákona o VO.  </w:t>
      </w:r>
      <w:r w:rsidR="00003DC1" w:rsidRPr="00A05EC4">
        <w:rPr>
          <w:sz w:val="22"/>
          <w:szCs w:val="22"/>
          <w:lang w:eastAsia="cs-CZ"/>
        </w:rPr>
        <w:t xml:space="preserve">Všetky percentuálne sadzby sa týkajú prípadov, keď konkrétne porušenie malo alebo mohlo mať vplyv na výsledok </w:t>
      </w:r>
      <w:r w:rsidR="00003DC1">
        <w:rPr>
          <w:sz w:val="22"/>
          <w:szCs w:val="22"/>
          <w:lang w:eastAsia="cs-CZ"/>
        </w:rPr>
        <w:t>VO</w:t>
      </w:r>
      <w:r w:rsidR="00003DC1" w:rsidRPr="00A05EC4">
        <w:rPr>
          <w:sz w:val="22"/>
          <w:szCs w:val="22"/>
          <w:lang w:eastAsia="cs-CZ"/>
        </w:rPr>
        <w:t xml:space="preserve">. </w:t>
      </w:r>
    </w:p>
    <w:p w:rsidR="00003DC1" w:rsidRPr="007C3E78" w:rsidRDefault="00003DC1" w:rsidP="00003DC1">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03DC1" w:rsidRPr="007C3E78" w:rsidTr="00BB16D8">
        <w:tc>
          <w:tcPr>
            <w:tcW w:w="675"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Výška finančnej opravy (korekcie)</w:t>
            </w:r>
          </w:p>
        </w:tc>
      </w:tr>
      <w:tr w:rsidR="00003DC1" w:rsidRPr="007C3E78" w:rsidTr="00BB16D8">
        <w:tc>
          <w:tcPr>
            <w:tcW w:w="14034" w:type="dxa"/>
            <w:gridSpan w:val="4"/>
            <w:shd w:val="clear" w:color="auto" w:fill="BFBFBF" w:themeFill="background1" w:themeFillShade="BF"/>
            <w:vAlign w:val="center"/>
          </w:tcPr>
          <w:p w:rsidR="00003DC1" w:rsidRPr="007C3E78" w:rsidRDefault="00003DC1" w:rsidP="00BB16D8">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Nedodržanie postupov zverejňovania zákazky v zmysle zákona o VO </w:t>
            </w:r>
          </w:p>
          <w:p w:rsidR="00003DC1" w:rsidRPr="007C3E78" w:rsidRDefault="00003DC1" w:rsidP="00BB16D8">
            <w:pPr>
              <w:rPr>
                <w:sz w:val="22"/>
                <w:szCs w:val="22"/>
                <w:lang w:eastAsia="cs-CZ"/>
              </w:rPr>
            </w:pP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100 %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2</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rsidR="00003DC1" w:rsidRPr="007C3E78" w:rsidRDefault="00003DC1" w:rsidP="00BB16D8">
            <w:pPr>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  - vzťahuje sa na každú z rozdelených zákaziek</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10% - v ostatných prípadoch nedovoleného spájania rôznorodých zákaziek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Nedodržanie minimálnej zákonnej lehoty na predkladanie ponúk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25 % v prípade, že skrátenie lehoty bolo rovné alebo väčšie ako 50 % zo zákonnej lehoty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4</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rsidR="00003DC1" w:rsidRPr="007C3E78" w:rsidRDefault="00003DC1" w:rsidP="00BB16D8">
            <w:pPr>
              <w:rPr>
                <w:sz w:val="22"/>
                <w:szCs w:val="22"/>
                <w:lang w:eastAsia="cs-CZ"/>
              </w:rPr>
            </w:pP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Nedodržanie postupov zverejňovania opravy oznámenia o vyhlásení verejného obstarávania v prípade</w:t>
            </w:r>
          </w:p>
          <w:p w:rsidR="00003DC1" w:rsidRPr="007C3E78" w:rsidRDefault="00003DC1" w:rsidP="00BB16D8">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rsidR="00003DC1" w:rsidRPr="007C3E78" w:rsidRDefault="00003DC1" w:rsidP="00BB16D8">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7</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rsidR="00003DC1" w:rsidRPr="007C3E78" w:rsidDel="005A6F58" w:rsidRDefault="00003DC1" w:rsidP="00BB16D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25 %, 10 % alebo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8</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Neurčenie:</w:t>
            </w:r>
          </w:p>
          <w:p w:rsidR="00003DC1" w:rsidRPr="007C3E78" w:rsidRDefault="00003DC1" w:rsidP="00BB16D8">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rsidR="00003DC1" w:rsidRPr="007C3E78" w:rsidRDefault="00003DC1" w:rsidP="00BB16D8">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9</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10</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11</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tcBorders>
              <w:bottom w:val="single" w:sz="4" w:space="0" w:color="auto"/>
            </w:tcBorders>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rsidR="00003DC1" w:rsidRPr="007C3E78" w:rsidRDefault="00003DC1" w:rsidP="00BB16D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10 %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5 % v závislosti od závažnosti porušenia</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003DC1" w:rsidRPr="007C3E78" w:rsidTr="00BB16D8">
        <w:tc>
          <w:tcPr>
            <w:tcW w:w="14034" w:type="dxa"/>
            <w:gridSpan w:val="4"/>
            <w:shd w:val="clear" w:color="auto" w:fill="BFBFBF" w:themeFill="background1" w:themeFillShade="BF"/>
            <w:vAlign w:val="center"/>
          </w:tcPr>
          <w:p w:rsidR="00003DC1" w:rsidRPr="007C3E78" w:rsidRDefault="00003DC1" w:rsidP="00BB16D8">
            <w:pPr>
              <w:jc w:val="center"/>
              <w:rPr>
                <w:sz w:val="22"/>
                <w:szCs w:val="22"/>
                <w:lang w:eastAsia="cs-CZ"/>
              </w:rPr>
            </w:pPr>
            <w:r w:rsidRPr="007C3E78">
              <w:rPr>
                <w:b/>
                <w:sz w:val="22"/>
                <w:szCs w:val="22"/>
                <w:lang w:eastAsia="cs-CZ"/>
              </w:rPr>
              <w:t>Vyhodnocovanie súťaže</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14</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sidRPr="007C3E78">
              <w:rPr>
                <w:sz w:val="22"/>
                <w:szCs w:val="22"/>
                <w:lang w:eastAsia="cs-CZ"/>
              </w:rPr>
              <w:lastRenderedPageBreak/>
              <w:t>kritériami na vyhodnotenie ponúk a pravidlami na ich uplatnenie</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lastRenderedPageBreak/>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16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Zápisnica z vyhodnotenia neexistuje alebo neobsahuje všetky podstatné prvky vyžadované zákonom o VO</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Umožnenie obhliadky miesta na dodanie predmetu zákazky iba niektorým záujemcom.</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17</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18</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Rokovanie v priebehu súťaže</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19</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V rámci rokovacieho konania so zverejnením nastala podstatná </w:t>
            </w:r>
            <w:r w:rsidRPr="007C3E78">
              <w:rPr>
                <w:sz w:val="22"/>
                <w:szCs w:val="22"/>
                <w:lang w:eastAsia="cs-CZ"/>
              </w:rPr>
              <w:lastRenderedPageBreak/>
              <w:t>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w:t>
            </w:r>
            <w:r w:rsidRPr="007C3E78">
              <w:rPr>
                <w:sz w:val="22"/>
                <w:szCs w:val="22"/>
                <w:lang w:eastAsia="cs-CZ"/>
              </w:rPr>
              <w:lastRenderedPageBreak/>
              <w:t>vyhlásenie novej zákazky a/alebo zmenou podmienok zákazka prestala spĺňať podmienky odôvodňujúce použitie rokovacieho konania so zverejnením</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20</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Odmietnutie mimoriadne nízkej ponuky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tc>
      </w:tr>
      <w:tr w:rsidR="00003DC1" w:rsidRPr="007C3E78" w:rsidTr="00BB16D8">
        <w:tc>
          <w:tcPr>
            <w:tcW w:w="675" w:type="dxa"/>
            <w:tcBorders>
              <w:bottom w:val="single" w:sz="4" w:space="0" w:color="auto"/>
            </w:tcBorders>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rsidR="00003DC1" w:rsidRPr="007C3E78" w:rsidRDefault="00003DC1" w:rsidP="00BB16D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100 %</w:t>
            </w:r>
          </w:p>
        </w:tc>
      </w:tr>
      <w:tr w:rsidR="00003DC1" w:rsidRPr="007C3E78" w:rsidTr="00BB16D8">
        <w:tc>
          <w:tcPr>
            <w:tcW w:w="14034" w:type="dxa"/>
            <w:gridSpan w:val="4"/>
            <w:shd w:val="clear" w:color="auto" w:fill="BFBFBF" w:themeFill="background1" w:themeFillShade="BF"/>
            <w:vAlign w:val="center"/>
          </w:tcPr>
          <w:p w:rsidR="00003DC1" w:rsidRPr="00A91AEF" w:rsidRDefault="00003DC1" w:rsidP="00BB16D8">
            <w:pPr>
              <w:jc w:val="center"/>
              <w:rPr>
                <w:b/>
                <w:sz w:val="22"/>
                <w:szCs w:val="22"/>
                <w:lang w:eastAsia="cs-CZ"/>
              </w:rPr>
            </w:pPr>
            <w:r w:rsidRPr="00A91AEF">
              <w:rPr>
                <w:b/>
                <w:sz w:val="22"/>
                <w:szCs w:val="22"/>
                <w:lang w:eastAsia="cs-CZ"/>
              </w:rPr>
              <w:t>Realizácia zákazky</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22</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v danom prípade jedná o „podstatnú“ zmenu.  </w:t>
            </w:r>
            <w:r w:rsidRPr="007C3E78">
              <w:rPr>
                <w:sz w:val="22"/>
                <w:szCs w:val="22"/>
                <w:vertAlign w:val="superscript"/>
                <w:lang w:eastAsia="cs-CZ"/>
              </w:rPr>
              <w:footnoteReference w:id="7"/>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 z ceny zmluvy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plus</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hodnota dodatočných výdavkov z plnenia zmluvy vychádzajúcich z podstatných zmien zmluvy</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Zníženie rozsahu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Zákazka bola zadaná v súlade so zákonom o VO, ale následne bol </w:t>
            </w:r>
            <w:r w:rsidRPr="007C3E78">
              <w:rPr>
                <w:sz w:val="22"/>
                <w:szCs w:val="22"/>
                <w:lang w:eastAsia="cs-CZ"/>
              </w:rPr>
              <w:lastRenderedPageBreak/>
              <w:t>znížený rozsah zákazky.</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Hodnota zníženia rozsahu</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Plus</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25 % z hodnoty konečného rozsahu (iba ak zníženie v rozsahu zákazky je podstatné)</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24</w:t>
            </w:r>
          </w:p>
        </w:tc>
        <w:tc>
          <w:tcPr>
            <w:tcW w:w="3720" w:type="dxa"/>
            <w:shd w:val="clear" w:color="auto" w:fill="auto"/>
          </w:tcPr>
          <w:p w:rsidR="00003DC1" w:rsidRPr="007C3E78" w:rsidRDefault="00003DC1" w:rsidP="00BB16D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rsidR="00003DC1" w:rsidRPr="007C3E78" w:rsidRDefault="00003DC1" w:rsidP="00BB16D8">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9"/>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rsidR="00003DC1" w:rsidRPr="007C3E78" w:rsidRDefault="00003DC1" w:rsidP="00BB16D8">
            <w:pPr>
              <w:jc w:val="both"/>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 hodnoty dodatočnej zákazky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Pr>
                <w:sz w:val="22"/>
                <w:szCs w:val="22"/>
                <w:lang w:eastAsia="cs-CZ"/>
              </w:rPr>
              <w:t>25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Porušenie povinnosti použiť pri verejnej súťaži, užšej súťaži alebo v rokovacom konaní so zverejnením elektronickú aukciu –nadlimitná, podlimitná zákazka na dodanie tovaru (resp. podlimitná zákazka bez využitia </w:t>
            </w:r>
            <w:r w:rsidRPr="007C3E78">
              <w:rPr>
                <w:sz w:val="22"/>
                <w:szCs w:val="22"/>
                <w:lang w:eastAsia="cs-CZ"/>
              </w:rPr>
              <w:lastRenderedPageBreak/>
              <w:t>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Pr>
                <w:sz w:val="22"/>
                <w:szCs w:val="22"/>
                <w:lang w:eastAsia="cs-CZ"/>
              </w:rPr>
              <w:lastRenderedPageBreak/>
              <w:t>26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rsidR="00003DC1" w:rsidRPr="00A91AEF" w:rsidRDefault="00003DC1" w:rsidP="00E56549">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r w:rsidR="00E56549">
              <w:rPr>
                <w:color w:val="4B4B4B"/>
                <w:sz w:val="22"/>
                <w:szCs w:val="22"/>
              </w:rPr>
              <w:t>96</w:t>
            </w:r>
            <w:r w:rsidR="004A037C">
              <w:rPr>
                <w:color w:val="4B4B4B"/>
                <w:sz w:val="22"/>
                <w:szCs w:val="22"/>
              </w:rPr>
              <w:t xml:space="preserve"> až 99</w:t>
            </w:r>
            <w:r w:rsidR="00E56549">
              <w:rPr>
                <w:color w:val="4B4B4B"/>
                <w:sz w:val="22"/>
                <w:szCs w:val="22"/>
              </w:rPr>
              <w:t xml:space="preserve"> </w:t>
            </w:r>
            <w:r w:rsidRPr="007C3E78">
              <w:rPr>
                <w:color w:val="4B4B4B"/>
                <w:sz w:val="22"/>
                <w:szCs w:val="22"/>
              </w:rPr>
              <w:t>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bl>
    <w:p w:rsidR="00003DC1" w:rsidRPr="007C3E78" w:rsidRDefault="00003DC1" w:rsidP="00003DC1">
      <w:pPr>
        <w:rPr>
          <w:sz w:val="22"/>
          <w:szCs w:val="22"/>
        </w:rPr>
      </w:pPr>
    </w:p>
    <w:p w:rsidR="003B3454" w:rsidRDefault="003B3454" w:rsidP="00003DC1">
      <w:pPr>
        <w:spacing w:before="240" w:after="240"/>
        <w:jc w:val="both"/>
        <w:rPr>
          <w:sz w:val="22"/>
          <w:szCs w:val="22"/>
        </w:rPr>
      </w:pPr>
    </w:p>
    <w:sectPr w:rsidR="003B3454">
      <w:footerReference w:type="default" r:id="rId8"/>
      <w:headerReference w:type="first" r:id="rId9"/>
      <w:footerReference w:type="first" r:id="rId10"/>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497" w:rsidRDefault="00E12497">
      <w:r>
        <w:separator/>
      </w:r>
    </w:p>
  </w:endnote>
  <w:endnote w:type="continuationSeparator" w:id="0">
    <w:p w:rsidR="00E12497" w:rsidRDefault="00E12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tabs>
        <w:tab w:val="center" w:pos="4536"/>
        <w:tab w:val="right" w:pos="9072"/>
      </w:tabs>
      <w:jc w:val="right"/>
    </w:pPr>
    <w:r>
      <w:t xml:space="preserve"> </w:t>
    </w:r>
  </w:p>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D229FE">
      <w:rPr>
        <w:b/>
        <w:bCs/>
        <w:noProof/>
        <w:sz w:val="22"/>
      </w:rPr>
      <w:t>9</w:t>
    </w:r>
    <w:r>
      <w:rPr>
        <w:b/>
        <w:bCs/>
        <w:sz w:val="22"/>
      </w:rPr>
      <w:fldChar w:fldCharType="end"/>
    </w:r>
    <w:r>
      <w:rPr>
        <w:sz w:val="22"/>
      </w:rPr>
      <w:t xml:space="preserve"> z </w:t>
    </w:r>
    <w:r>
      <w:rPr>
        <w:b/>
        <w:bCs/>
        <w:sz w:val="22"/>
      </w:rPr>
      <w:fldChar w:fldCharType="begin"/>
    </w:r>
    <w:r>
      <w:rPr>
        <w:b/>
        <w:bCs/>
        <w:sz w:val="22"/>
      </w:rPr>
      <w:instrText>NUMPAGES</w:instrText>
    </w:r>
    <w:r>
      <w:rPr>
        <w:b/>
        <w:bCs/>
        <w:sz w:val="22"/>
      </w:rPr>
      <w:fldChar w:fldCharType="separate"/>
    </w:r>
    <w:r w:rsidR="00D229FE">
      <w:rPr>
        <w:b/>
        <w:bCs/>
        <w:noProof/>
        <w:sz w:val="22"/>
      </w:rPr>
      <w:t>9</w:t>
    </w:r>
    <w:r>
      <w:rPr>
        <w:b/>
        <w:bCs/>
        <w:sz w:val="22"/>
      </w:rPr>
      <w:fldChar w:fldCharType="end"/>
    </w:r>
  </w:p>
  <w:p w:rsidR="00EA4E16" w:rsidRDefault="00EA4E16">
    <w:pPr>
      <w:pStyle w:val="Pta"/>
    </w:pPr>
  </w:p>
  <w:p w:rsidR="00EA4E16" w:rsidRDefault="00EA4E1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D229FE">
      <w:rPr>
        <w:b/>
        <w:bCs/>
        <w:noProof/>
        <w:sz w:val="22"/>
      </w:rPr>
      <w:t>1</w:t>
    </w:r>
    <w:r>
      <w:rPr>
        <w:b/>
        <w:bCs/>
        <w:sz w:val="22"/>
      </w:rPr>
      <w:fldChar w:fldCharType="end"/>
    </w:r>
    <w:r>
      <w:rPr>
        <w:sz w:val="22"/>
      </w:rPr>
      <w:t xml:space="preserve"> z </w:t>
    </w:r>
    <w:r>
      <w:rPr>
        <w:b/>
        <w:bCs/>
        <w:sz w:val="22"/>
      </w:rPr>
      <w:t>9</w:t>
    </w:r>
  </w:p>
  <w:p w:rsidR="00EA4E16" w:rsidRDefault="00EA4E1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497" w:rsidRDefault="00E12497">
      <w:r>
        <w:separator/>
      </w:r>
    </w:p>
  </w:footnote>
  <w:footnote w:type="continuationSeparator" w:id="0">
    <w:p w:rsidR="00E12497" w:rsidRDefault="00E12497">
      <w:r>
        <w:continuationSeparator/>
      </w:r>
    </w:p>
  </w:footnote>
  <w:footnote w:id="1">
    <w:p w:rsidR="00003DC1" w:rsidRDefault="00003DC1" w:rsidP="00003DC1">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rsidR="00003DC1" w:rsidRPr="0071245E" w:rsidRDefault="00003DC1" w:rsidP="00003DC1">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rsidR="00003DC1" w:rsidRPr="0071245E" w:rsidRDefault="00003DC1" w:rsidP="00003DC1">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rsidR="00003DC1" w:rsidRDefault="00003DC1" w:rsidP="00003DC1">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rsidR="00003DC1" w:rsidRPr="00A2221A" w:rsidRDefault="00003DC1" w:rsidP="00003DC1">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rsidR="00003DC1" w:rsidRPr="00A2221A" w:rsidRDefault="00003DC1" w:rsidP="00003DC1">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rsidR="00003DC1" w:rsidRPr="00A2221A" w:rsidRDefault="00003DC1" w:rsidP="00003DC1">
      <w:pPr>
        <w:pStyle w:val="Textpoznmkypodiarou"/>
        <w:numPr>
          <w:ilvl w:val="0"/>
          <w:numId w:val="30"/>
        </w:numPr>
        <w:jc w:val="both"/>
      </w:pPr>
      <w:r w:rsidRPr="00A2221A">
        <w:t>zmeny umožňuje zadanie zákazky záujemcovi inému ako by bol pôvodne akceptovaný;</w:t>
      </w:r>
    </w:p>
    <w:p w:rsidR="00003DC1" w:rsidRPr="00A2221A" w:rsidRDefault="00003DC1" w:rsidP="00003DC1">
      <w:pPr>
        <w:pStyle w:val="Textpoznmkypodiarou"/>
        <w:numPr>
          <w:ilvl w:val="0"/>
          <w:numId w:val="30"/>
        </w:numPr>
        <w:jc w:val="both"/>
      </w:pPr>
      <w:r>
        <w:t>verejný obstarávateľ</w:t>
      </w:r>
      <w:r w:rsidRPr="00A2221A">
        <w:t xml:space="preserve"> rozšíri rozsah zákazky obsahujúci tovary/služby/práce, ktoré pôvodne zákazka neobsahovala;</w:t>
      </w:r>
    </w:p>
    <w:p w:rsidR="00003DC1" w:rsidRDefault="00003DC1" w:rsidP="00003DC1">
      <w:pPr>
        <w:pStyle w:val="Textpoznmkypodiarou"/>
        <w:numPr>
          <w:ilvl w:val="0"/>
          <w:numId w:val="30"/>
        </w:numPr>
        <w:jc w:val="both"/>
      </w:pPr>
      <w:r w:rsidRPr="00A2221A">
        <w:t>modifikácia zmení ekonomickú rovnováhu v prospech víťaza spôsobom, ktorú pôvodná zákazky neumožňovala.</w:t>
      </w:r>
    </w:p>
  </w:footnote>
  <w:footnote w:id="6">
    <w:p w:rsidR="00003DC1" w:rsidRPr="002049FC" w:rsidRDefault="00003DC1" w:rsidP="00003DC1">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7">
    <w:p w:rsidR="00003DC1" w:rsidRDefault="00003DC1" w:rsidP="00003DC1">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8">
    <w:p w:rsidR="00003DC1" w:rsidRDefault="00003DC1" w:rsidP="00003DC1">
      <w:pPr>
        <w:pStyle w:val="Textpoznmkypodiarou"/>
      </w:pPr>
      <w:r w:rsidRPr="00A2221A">
        <w:rPr>
          <w:rStyle w:val="Odkaznapoznmkupodiarou"/>
        </w:rPr>
        <w:footnoteRef/>
      </w:r>
      <w:r w:rsidRPr="00A2221A">
        <w:t xml:space="preserve"> Viď poznámku </w:t>
      </w:r>
      <w:r>
        <w:t>pod čiarou č. 8</w:t>
      </w:r>
    </w:p>
  </w:footnote>
  <w:footnote w:id="9">
    <w:p w:rsidR="00003DC1" w:rsidRPr="00A2221A" w:rsidRDefault="00003DC1" w:rsidP="00003DC1">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rsidR="00003DC1" w:rsidRDefault="00003DC1" w:rsidP="00003DC1">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1">
    <w:p w:rsidR="00003DC1" w:rsidRDefault="00003DC1" w:rsidP="00003DC1">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Hlavika"/>
      <w:rPr>
        <w:sz w:val="22"/>
      </w:rPr>
    </w:pPr>
    <w:r>
      <w:rPr>
        <w:sz w:val="22"/>
      </w:rPr>
      <w:t>Vzor prílohy č. 4 rozhodnutia o schválení žiadosti o poskytnutí nenávratného finančného príspevku -</w:t>
    </w:r>
    <w:r>
      <w:rPr>
        <w:sz w:val="22"/>
        <w:szCs w:val="22"/>
      </w:rPr>
      <w:t xml:space="preserve">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4">
    <w:nsid w:val="2F977E2A"/>
    <w:multiLevelType w:val="hybridMultilevel"/>
    <w:tmpl w:val="3222BAD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3">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5">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7">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8">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721"/>
    <w:rsid w:val="00003DC1"/>
    <w:rsid w:val="00304AE0"/>
    <w:rsid w:val="003B2224"/>
    <w:rsid w:val="003B3454"/>
    <w:rsid w:val="004A037C"/>
    <w:rsid w:val="00653190"/>
    <w:rsid w:val="00675E7F"/>
    <w:rsid w:val="007643E9"/>
    <w:rsid w:val="00974237"/>
    <w:rsid w:val="009C17C3"/>
    <w:rsid w:val="00AD4721"/>
    <w:rsid w:val="00D229FE"/>
    <w:rsid w:val="00E12497"/>
    <w:rsid w:val="00E56549"/>
    <w:rsid w:val="00EA4E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footnote reference" w:uiPriority="99"/>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uiPriority w:val="99"/>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footnote reference" w:uiPriority="99"/>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uiPriority w:val="99"/>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2528</Words>
  <Characters>15057</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Príloha č</vt:lpstr>
    </vt:vector>
  </TitlesOfParts>
  <Company>MVRR</Company>
  <LinksUpToDate>false</LinksUpToDate>
  <CharactersWithSpaces>17550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Čillik Martin</dc:creator>
  <cp:lastModifiedBy>Kopecká Monika</cp:lastModifiedBy>
  <cp:revision>3</cp:revision>
  <cp:lastPrinted>2014-06-27T08:05:00Z</cp:lastPrinted>
  <dcterms:created xsi:type="dcterms:W3CDTF">2016-03-22T08:20:00Z</dcterms:created>
  <dcterms:modified xsi:type="dcterms:W3CDTF">2016-03-22T08:20:00Z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