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D72F45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5B642A" w:rsidRPr="002B3A70">
        <w:rPr>
          <w:rFonts w:ascii="Times New Roman" w:hAnsi="Times New Roman"/>
        </w:rPr>
        <w:t>OPTP-P</w:t>
      </w:r>
      <w:r w:rsidR="005B642A">
        <w:rPr>
          <w:rFonts w:ascii="Times New Roman" w:hAnsi="Times New Roman"/>
        </w:rPr>
        <w:t>O1</w:t>
      </w:r>
      <w:r w:rsidR="005B642A" w:rsidRPr="002B3A70">
        <w:rPr>
          <w:rFonts w:ascii="Times New Roman" w:hAnsi="Times New Roman"/>
        </w:rPr>
        <w:t>-SC</w:t>
      </w:r>
      <w:r w:rsidR="005B642A">
        <w:rPr>
          <w:rFonts w:ascii="Times New Roman" w:hAnsi="Times New Roman"/>
        </w:rPr>
        <w:t>1</w:t>
      </w:r>
      <w:r w:rsidR="005B642A" w:rsidRPr="002B3A70">
        <w:rPr>
          <w:rFonts w:ascii="Times New Roman" w:hAnsi="Times New Roman"/>
        </w:rPr>
        <w:t>-2016-</w:t>
      </w:r>
      <w:r w:rsidR="005B642A">
        <w:rPr>
          <w:rFonts w:ascii="Times New Roman" w:hAnsi="Times New Roman"/>
        </w:rPr>
        <w:t>8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Default="001D1654" w:rsidP="001B1585">
      <w:pPr>
        <w:jc w:val="both"/>
        <w:rPr>
          <w:rFonts w:asciiTheme="minorHAnsi" w:hAnsiTheme="minorHAnsi"/>
          <w:bCs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 xml:space="preserve">na projekty technickej pomoci č. (kód) </w:t>
      </w:r>
      <w:r w:rsidR="005B642A" w:rsidRPr="00671AB6">
        <w:rPr>
          <w:bCs/>
          <w:sz w:val="24"/>
          <w:szCs w:val="24"/>
        </w:rPr>
        <w:t>OPTP-PO1-SC1-2016-8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5B642A" w:rsidRPr="005B642A">
        <w:rPr>
          <w:bCs/>
          <w:sz w:val="24"/>
          <w:szCs w:val="24"/>
        </w:rPr>
        <w:t>Špecifické vzdelávanie AK EŠIF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F43559">
        <w:rPr>
          <w:bCs/>
          <w:sz w:val="24"/>
          <w:szCs w:val="24"/>
        </w:rPr>
        <w:t>1</w:t>
      </w:r>
      <w:r w:rsidR="005B642A">
        <w:rPr>
          <w:bCs/>
          <w:sz w:val="24"/>
          <w:szCs w:val="24"/>
        </w:rPr>
        <w:t>8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F43559">
        <w:rPr>
          <w:bCs/>
          <w:sz w:val="24"/>
          <w:szCs w:val="24"/>
        </w:rPr>
        <w:t>5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D72F45" w:rsidRDefault="00D72F45" w:rsidP="00D72F45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D72F45">
        <w:rPr>
          <w:rFonts w:asciiTheme="minorHAnsi" w:hAnsiTheme="minorHAnsi"/>
          <w:bCs/>
          <w:i/>
          <w:sz w:val="22"/>
          <w:szCs w:val="22"/>
        </w:rPr>
        <w:t>V časti</w:t>
      </w:r>
      <w:r>
        <w:rPr>
          <w:bCs/>
          <w:i/>
        </w:rPr>
        <w:t xml:space="preserve"> </w:t>
      </w:r>
      <w:r w:rsidRPr="00D72F45">
        <w:rPr>
          <w:rFonts w:asciiTheme="minorHAnsi" w:hAnsiTheme="minorHAnsi"/>
          <w:b/>
          <w:bCs/>
          <w:i/>
          <w:sz w:val="22"/>
          <w:szCs w:val="22"/>
        </w:rPr>
        <w:t xml:space="preserve">1.6 Miesto a spôsob podania </w:t>
      </w:r>
      <w:proofErr w:type="spellStart"/>
      <w:r w:rsidRPr="00D72F45">
        <w:rPr>
          <w:rFonts w:asciiTheme="minorHAnsi" w:hAnsiTheme="minorHAnsi"/>
          <w:b/>
          <w:bCs/>
          <w:i/>
          <w:sz w:val="22"/>
          <w:szCs w:val="22"/>
        </w:rPr>
        <w:t>ŽoNFP</w:t>
      </w:r>
      <w:proofErr w:type="spellEnd"/>
    </w:p>
    <w:p w:rsidR="00D72F45" w:rsidRDefault="00D72F45" w:rsidP="00D72F45">
      <w:pPr>
        <w:pStyle w:val="Default"/>
        <w:ind w:firstLine="360"/>
        <w:jc w:val="both"/>
        <w:rPr>
          <w:rFonts w:asciiTheme="minorHAnsi" w:hAnsiTheme="minorHAnsi" w:cs="Times New Roman"/>
          <w:sz w:val="22"/>
          <w:szCs w:val="22"/>
        </w:rPr>
      </w:pPr>
    </w:p>
    <w:p w:rsidR="00D72F45" w:rsidRDefault="00D72F45" w:rsidP="00D72F45">
      <w:pPr>
        <w:pStyle w:val="Default"/>
        <w:ind w:firstLine="360"/>
        <w:jc w:val="both"/>
        <w:rPr>
          <w:sz w:val="23"/>
          <w:szCs w:val="23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2B139F">
        <w:rPr>
          <w:rFonts w:asciiTheme="minorHAnsi" w:hAnsiTheme="minorHAnsi" w:cs="Times New Roman"/>
          <w:sz w:val="22"/>
          <w:szCs w:val="22"/>
        </w:rPr>
        <w:t>riadne, včas a v určenej forme:</w:t>
      </w:r>
      <w:r>
        <w:rPr>
          <w:sz w:val="23"/>
          <w:szCs w:val="23"/>
        </w:rPr>
        <w:t xml:space="preserve"> </w:t>
      </w:r>
    </w:p>
    <w:p w:rsidR="00D72F45" w:rsidRDefault="00D72F45" w:rsidP="00D72F45">
      <w:pPr>
        <w:pStyle w:val="Default"/>
        <w:ind w:firstLine="708"/>
        <w:jc w:val="both"/>
        <w:rPr>
          <w:rFonts w:asciiTheme="minorHAnsi" w:hAnsiTheme="minorHAnsi" w:cs="Times New Roman"/>
          <w:sz w:val="22"/>
          <w:szCs w:val="22"/>
        </w:rPr>
      </w:pPr>
      <w:r w:rsidRPr="007775EB">
        <w:rPr>
          <w:rFonts w:asciiTheme="minorHAnsi" w:hAnsiTheme="minorHAnsi" w:cs="Times New Roman"/>
          <w:b/>
          <w:sz w:val="22"/>
          <w:szCs w:val="22"/>
        </w:rPr>
        <w:t>elektronicky</w:t>
      </w:r>
      <w:r w:rsidRPr="002D08EE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D72F45" w:rsidRDefault="00D72F45" w:rsidP="00D72F45">
      <w:pPr>
        <w:pStyle w:val="Odsekzoznamu"/>
        <w:spacing w:before="240" w:after="240"/>
        <w:ind w:left="0" w:firstLine="708"/>
        <w:jc w:val="both"/>
        <w:rPr>
          <w:rFonts w:asciiTheme="minorHAnsi" w:hAnsiTheme="minorHAnsi"/>
          <w:sz w:val="22"/>
          <w:szCs w:val="22"/>
        </w:rPr>
      </w:pPr>
      <w:r w:rsidRPr="002B139F">
        <w:rPr>
          <w:rFonts w:asciiTheme="minorHAnsi" w:hAnsiTheme="minorHAnsi"/>
          <w:b/>
          <w:sz w:val="22"/>
          <w:szCs w:val="22"/>
        </w:rPr>
        <w:t xml:space="preserve">a zároveň v </w:t>
      </w:r>
      <w:r>
        <w:rPr>
          <w:rFonts w:asciiTheme="minorHAnsi" w:hAnsiTheme="minorHAnsi"/>
          <w:b/>
          <w:sz w:val="22"/>
          <w:szCs w:val="22"/>
        </w:rPr>
        <w:t>listinnej</w:t>
      </w:r>
      <w:r w:rsidRPr="002B139F">
        <w:rPr>
          <w:rFonts w:asciiTheme="minorHAnsi" w:hAnsiTheme="minorHAnsi"/>
          <w:b/>
          <w:sz w:val="22"/>
          <w:szCs w:val="22"/>
        </w:rPr>
        <w:t xml:space="preserve"> podobe</w:t>
      </w:r>
      <w:r w:rsidRPr="002B139F">
        <w:rPr>
          <w:rFonts w:asciiTheme="minorHAnsi" w:hAnsiTheme="minorHAnsi"/>
          <w:sz w:val="22"/>
          <w:szCs w:val="22"/>
        </w:rPr>
        <w:t>, spolu so všetkými prílohami v jednom origináli (vytlačenom po odoslaní prostredníctvom ITMS2014+) a jednej kópii jedným z nasledovných spôsobov:</w:t>
      </w:r>
    </w:p>
    <w:p w:rsidR="00D72F45" w:rsidRPr="00FC0520" w:rsidRDefault="00D72F45" w:rsidP="00D72F45">
      <w:pPr>
        <w:pStyle w:val="Odsekzoznamu"/>
        <w:spacing w:before="240" w:after="240"/>
        <w:ind w:left="0" w:firstLine="708"/>
        <w:jc w:val="both"/>
      </w:pPr>
    </w:p>
    <w:p w:rsidR="00D72F45" w:rsidRPr="009446DF" w:rsidRDefault="00D72F45" w:rsidP="00D72F45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sekcia operačných programov </w:t>
      </w:r>
    </w:p>
    <w:p w:rsidR="00D72F45" w:rsidRPr="0062456D" w:rsidRDefault="00D72F45" w:rsidP="00D72F45">
      <w:pPr>
        <w:spacing w:after="0"/>
        <w:ind w:firstLine="357"/>
        <w:jc w:val="both"/>
      </w:pPr>
      <w:r w:rsidRPr="00FC0520">
        <w:t>odbor implementácie projektov OP TP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Námestie slobody 1 </w:t>
      </w:r>
    </w:p>
    <w:p w:rsidR="00D72F45" w:rsidRPr="00FC0520" w:rsidRDefault="00D72F45" w:rsidP="00D72F45">
      <w:pPr>
        <w:spacing w:after="0"/>
        <w:ind w:firstLine="357"/>
        <w:jc w:val="both"/>
      </w:pPr>
      <w:r w:rsidRPr="0062456D">
        <w:t>813 70 Bratislava 15</w:t>
      </w:r>
    </w:p>
    <w:p w:rsidR="00D72F45" w:rsidRDefault="00D72F45" w:rsidP="00D72F45">
      <w:pPr>
        <w:pStyle w:val="Odsekzoznamu"/>
        <w:numPr>
          <w:ilvl w:val="0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D72F45" w:rsidRDefault="00D72F45" w:rsidP="00D72F45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D72F45" w:rsidRPr="0062456D" w:rsidRDefault="00D72F45" w:rsidP="00D72F45">
      <w:pPr>
        <w:spacing w:after="0"/>
        <w:ind w:firstLine="357"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Námestie slobody 1 </w:t>
      </w:r>
    </w:p>
    <w:p w:rsidR="00D72F45" w:rsidRPr="00FC0520" w:rsidRDefault="00D72F45" w:rsidP="00D72F45">
      <w:pPr>
        <w:spacing w:after="0"/>
        <w:ind w:firstLine="357"/>
        <w:jc w:val="both"/>
      </w:pPr>
      <w:r w:rsidRPr="0062456D">
        <w:t>813 70 Bratislava 15</w:t>
      </w:r>
    </w:p>
    <w:p w:rsidR="00D72F45" w:rsidRPr="009446DF" w:rsidRDefault="00D72F45" w:rsidP="00D72F45">
      <w:pPr>
        <w:pStyle w:val="Odsekzoznamu"/>
        <w:numPr>
          <w:ilvl w:val="1"/>
          <w:numId w:val="6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D72F45" w:rsidRPr="0062456D" w:rsidRDefault="00D72F45" w:rsidP="00D72F45">
      <w:pPr>
        <w:spacing w:after="0"/>
        <w:ind w:firstLine="357"/>
        <w:jc w:val="both"/>
      </w:pPr>
      <w:r w:rsidRPr="00FC0520">
        <w:t>Úrad vlády Slovenskej republiky</w:t>
      </w:r>
    </w:p>
    <w:p w:rsidR="00D72F45" w:rsidRPr="0062456D" w:rsidRDefault="00D72F45" w:rsidP="00D72F45">
      <w:pPr>
        <w:spacing w:after="0"/>
        <w:ind w:firstLine="357"/>
        <w:jc w:val="both"/>
      </w:pPr>
      <w:r w:rsidRPr="0062456D">
        <w:t xml:space="preserve">sekcia operačných programov </w:t>
      </w:r>
    </w:p>
    <w:p w:rsidR="00D72F45" w:rsidRPr="00FC0520" w:rsidRDefault="00D72F45" w:rsidP="00D72F45">
      <w:pPr>
        <w:spacing w:after="0"/>
        <w:ind w:firstLine="357"/>
        <w:jc w:val="both"/>
      </w:pPr>
      <w:r w:rsidRPr="00FC0520">
        <w:t xml:space="preserve">odbor implementácie projektov OP TP </w:t>
      </w:r>
    </w:p>
    <w:p w:rsidR="00D72F45" w:rsidRPr="00FC0520" w:rsidRDefault="00D72F45" w:rsidP="00D72F45">
      <w:pPr>
        <w:spacing w:after="0"/>
        <w:ind w:firstLine="357"/>
        <w:jc w:val="both"/>
      </w:pPr>
      <w:r w:rsidRPr="00FC0520">
        <w:t>Radlinského 13</w:t>
      </w:r>
    </w:p>
    <w:p w:rsidR="00D72F45" w:rsidRPr="0062456D" w:rsidRDefault="00D72F45" w:rsidP="00D72F45">
      <w:pPr>
        <w:spacing w:after="0"/>
        <w:ind w:firstLine="357"/>
        <w:jc w:val="both"/>
      </w:pPr>
      <w:r w:rsidRPr="00FC0520">
        <w:t>Bratislava</w:t>
      </w:r>
    </w:p>
    <w:p w:rsidR="00D72F45" w:rsidRDefault="00D72F45" w:rsidP="00D72F45">
      <w:pPr>
        <w:spacing w:before="240" w:after="240"/>
        <w:ind w:firstLine="360"/>
        <w:jc w:val="both"/>
      </w:pPr>
      <w:r>
        <w:lastRenderedPageBreak/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(služba ÚV SR).</w:t>
      </w:r>
    </w:p>
    <w:p w:rsidR="00D72F45" w:rsidRPr="00D72F45" w:rsidRDefault="00D72F45" w:rsidP="00D72F45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 xml:space="preserve">Žiadateľ postupuje pri predložení </w:t>
      </w:r>
      <w:proofErr w:type="spellStart"/>
      <w:r w:rsidRPr="00D72F45">
        <w:rPr>
          <w:rFonts w:asciiTheme="minorHAnsi" w:hAnsiTheme="minorHAnsi"/>
        </w:rPr>
        <w:t>ŽoNFP</w:t>
      </w:r>
      <w:proofErr w:type="spellEnd"/>
      <w:r w:rsidRPr="00D72F45">
        <w:rPr>
          <w:rFonts w:asciiTheme="minorHAnsi" w:hAnsiTheme="minorHAnsi"/>
        </w:rPr>
        <w:t xml:space="preserve"> do elektronickej schránky RO OP TP nasledovne: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RO OP TP žiadateľom na webovom sídle RO OP TP ). 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ale ich iba vloží do ITMS2014+. V  prípade prílohy Splnomocnenia osoby splnomocnenej zastupovať žiadateľa v konaní o 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je potrebné doručiť prílohu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Aj v prípade, že žiadateľ predkladá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výlučne elektronicky, je oprávnený doručiť vybrané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. </w:t>
      </w:r>
    </w:p>
    <w:p w:rsidR="00D72F45" w:rsidRPr="00D72F45" w:rsidRDefault="00D72F45" w:rsidP="00D72F45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 OP TP je povinný doručovať všetky rozhodnutia, vydané v konaní o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:rsidR="00D72F45" w:rsidRPr="002B139F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>, autorizovaných kvalifikovaným elektronickým podpisom, kvalifikovaným elektronickým podpisom s mandátnym certifikátom alebo kvalifikovanou elektronickou pečaťou do elektronickej schránky RO OP TP.</w:t>
      </w:r>
    </w:p>
    <w:p w:rsidR="00D72F45" w:rsidRPr="00F75923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lastRenderedPageBreak/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D72F45" w:rsidRPr="00F75923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D72F45" w:rsidRPr="00F75923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D72F45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</w:p>
    <w:p w:rsidR="00D72F45" w:rsidRPr="00F75923" w:rsidRDefault="00D72F45" w:rsidP="00D72F45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72F45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D72F45" w:rsidRDefault="00D72F45" w:rsidP="00D72F45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D72F45" w:rsidRPr="002B139F" w:rsidRDefault="00D72F45" w:rsidP="00D72F45">
      <w:pPr>
        <w:rPr>
          <w:lang w:eastAsia="sk-SK"/>
        </w:rPr>
      </w:pPr>
      <w:r w:rsidRPr="002D08EE">
        <w:rPr>
          <w:rFonts w:asciiTheme="minorHAnsi" w:hAnsiTheme="minorHAnsi"/>
        </w:rPr>
        <w:t>V prípade,</w:t>
      </w:r>
      <w:r>
        <w:rPr>
          <w:rFonts w:asciiTheme="minorHAnsi" w:hAnsiTheme="minorHAnsi"/>
        </w:rPr>
        <w:t xml:space="preserve"> že žiadosť o NFP podpisuje </w:t>
      </w:r>
      <w:r w:rsidRPr="004D3F96">
        <w:rPr>
          <w:rFonts w:asciiTheme="minorHAnsi" w:hAnsiTheme="minorHAnsi"/>
        </w:rPr>
        <w:t>v mene štatutára splnomocnená osoba</w:t>
      </w:r>
      <w:r>
        <w:rPr>
          <w:rFonts w:asciiTheme="minorHAnsi" w:hAnsiTheme="minorHAnsi"/>
        </w:rPr>
        <w:t>,</w:t>
      </w:r>
      <w:r w:rsidRPr="004D3F96">
        <w:rPr>
          <w:rFonts w:asciiTheme="minorHAnsi" w:hAnsiTheme="minorHAnsi"/>
        </w:rPr>
        <w:t xml:space="preserve"> je žiadateľ povinný predložiť spolu so žiadosťou o NFP aj </w:t>
      </w:r>
      <w:r>
        <w:rPr>
          <w:rFonts w:asciiTheme="minorHAnsi" w:hAnsiTheme="minorHAnsi"/>
        </w:rPr>
        <w:t>s</w:t>
      </w:r>
      <w:r w:rsidRPr="004D3F96">
        <w:rPr>
          <w:rFonts w:asciiTheme="minorHAnsi" w:hAnsiTheme="minorHAnsi"/>
        </w:rPr>
        <w:t>plnomoc</w:t>
      </w:r>
      <w:r>
        <w:rPr>
          <w:rFonts w:asciiTheme="minorHAnsi" w:hAnsiTheme="minorHAnsi"/>
        </w:rPr>
        <w:t>nenie</w:t>
      </w:r>
      <w:r w:rsidRPr="004D3F96">
        <w:rPr>
          <w:rFonts w:asciiTheme="minorHAnsi" w:hAnsiTheme="minorHAnsi"/>
        </w:rPr>
        <w:t xml:space="preserve"> na tento úkon.</w:t>
      </w:r>
    </w:p>
    <w:p w:rsidR="00D72F45" w:rsidRPr="00FC0520" w:rsidRDefault="00D72F45" w:rsidP="00D72F45">
      <w:pPr>
        <w:spacing w:before="240" w:after="240"/>
        <w:ind w:firstLine="360"/>
        <w:jc w:val="both"/>
      </w:pPr>
      <w:r w:rsidRPr="00FC0520">
        <w:t xml:space="preserve">V prípade, ak žiadateľ nepredloží žiadosť o NFP riadne, včas alebo v určenej forme, riadiaci orgán zastaví konanie vydaním rozhodnutia o zastavení konania o žiadosti o NFP. </w:t>
      </w:r>
    </w:p>
    <w:p w:rsidR="00D72F45" w:rsidRDefault="00D72F45" w:rsidP="00D72F45">
      <w:pPr>
        <w:jc w:val="both"/>
        <w:rPr>
          <w:rFonts w:asciiTheme="minorHAnsi" w:hAnsiTheme="minorHAnsi"/>
          <w:b/>
          <w:bCs/>
          <w:i/>
        </w:rPr>
      </w:pPr>
      <w:r w:rsidRPr="00FC0520">
        <w:t xml:space="preserve">Postup pri získavaní prístupu do verejnej časti ITMS2014+ je popísaný na webovom sídle </w:t>
      </w:r>
      <w:hyperlink r:id="rId9" w:history="1">
        <w:r w:rsidRPr="0062456D">
          <w:rPr>
            <w:u w:val="single"/>
          </w:rPr>
          <w:t>www.ITMS2014.sk</w:t>
        </w:r>
      </w:hyperlink>
      <w:r w:rsidRPr="00FC0520">
        <w:t xml:space="preserve"> v časti ČASTO KLADENÉ OTÁZKY (REGISTRÁCIA DO ITMS2014+).</w:t>
      </w:r>
    </w:p>
    <w:p w:rsidR="00030CB0" w:rsidRDefault="00030CB0" w:rsidP="00030CB0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030CB0" w:rsidRDefault="00030CB0" w:rsidP="00030CB0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 w:rsidR="00E21B69">
        <w:rPr>
          <w:i/>
        </w:rPr>
        <w:t>y</w:t>
      </w:r>
      <w:r w:rsidRPr="00030CB0">
        <w:rPr>
          <w:i/>
        </w:rPr>
        <w:t>zv</w:t>
      </w:r>
      <w:r w:rsidR="00E21B69"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 xml:space="preserve"> vo všetkých</w:t>
      </w:r>
      <w:r>
        <w:rPr>
          <w:i/>
        </w:rPr>
        <w:t xml:space="preserve"> v</w:t>
      </w:r>
      <w:r w:rsidR="00896B75">
        <w:rPr>
          <w:i/>
        </w:rPr>
        <w:t>y</w:t>
      </w:r>
      <w:r>
        <w:rPr>
          <w:i/>
        </w:rPr>
        <w:t>zva</w:t>
      </w:r>
      <w:r w:rsidR="00896B75">
        <w:rPr>
          <w:i/>
        </w:rPr>
        <w:t>niach</w:t>
      </w:r>
      <w:r>
        <w:rPr>
          <w:i/>
        </w:rPr>
        <w:t xml:space="preserve">, ktoré nie sú uzavreté </w:t>
      </w:r>
      <w:r w:rsidRPr="00030CB0">
        <w:rPr>
          <w:i/>
        </w:rPr>
        <w:t xml:space="preserve"> formou zverejnenia informácie o zmene </w:t>
      </w:r>
      <w:r w:rsidR="00896B75">
        <w:rPr>
          <w:i/>
        </w:rPr>
        <w:t>vyzvania</w:t>
      </w:r>
      <w:r w:rsidRPr="00030CB0">
        <w:rPr>
          <w:i/>
        </w:rPr>
        <w:t xml:space="preserve"> na webovom sídle </w:t>
      </w:r>
      <w:r w:rsidR="00896B75"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>)</w:t>
      </w:r>
      <w:r>
        <w:rPr>
          <w:i/>
        </w:rPr>
        <w:t>.</w:t>
      </w:r>
    </w:p>
    <w:p w:rsidR="006032F8" w:rsidRPr="00663983" w:rsidRDefault="006032F8" w:rsidP="006032F8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6032F8" w:rsidRDefault="006032F8">
      <w:pPr>
        <w:spacing w:after="0" w:line="240" w:lineRule="auto"/>
        <w:rPr>
          <w:rFonts w:asciiTheme="minorHAnsi" w:eastAsia="Times New Roman" w:hAnsiTheme="minorHAnsi"/>
          <w:bCs/>
          <w:i/>
          <w:lang w:eastAsia="sk-SK"/>
        </w:rPr>
      </w:pPr>
      <w:r>
        <w:rPr>
          <w:rFonts w:asciiTheme="minorHAnsi" w:hAnsiTheme="minorHAnsi"/>
          <w:bCs/>
          <w:i/>
        </w:rPr>
        <w:br w:type="page"/>
      </w:r>
    </w:p>
    <w:p w:rsidR="00547592" w:rsidRPr="00EE719A" w:rsidRDefault="00547592" w:rsidP="00547592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lastRenderedPageBreak/>
        <w:t>v časti</w:t>
      </w:r>
      <w:r w:rsidRPr="00EE719A">
        <w:rPr>
          <w:bCs/>
          <w:i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EE719A" w:rsidRDefault="00EE719A" w:rsidP="00EE719A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Úrad vlády Slovenskej republiky: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centrálny koordinačný orgán</w:t>
      </w:r>
      <w:r>
        <w:rPr>
          <w:rFonts w:asciiTheme="minorHAnsi" w:eastAsia="Times New Roman" w:hAnsiTheme="minorHAnsi"/>
          <w:lang w:eastAsia="sk-SK"/>
        </w:rPr>
        <w:t xml:space="preserve"> (do 31.5.2016)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riadiaci orgán pre operačný program Technická pomoc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platobná jednotka pre OP TP</w:t>
      </w:r>
    </w:p>
    <w:p w:rsidR="00B745CD" w:rsidRPr="00E066B2" w:rsidRDefault="00B745CD" w:rsidP="00B745CD">
      <w:pPr>
        <w:spacing w:after="0" w:line="240" w:lineRule="auto"/>
        <w:ind w:left="709" w:firstLine="709"/>
        <w:rPr>
          <w:rFonts w:asciiTheme="minorHAnsi" w:hAnsiTheme="minorHAnsi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 w:rsidRPr="00E066B2">
        <w:rPr>
          <w:rFonts w:asciiTheme="minorHAnsi" w:hAnsiTheme="minorHAnsi"/>
        </w:rPr>
        <w:t>ako ostatné útvary zabezpečujúce oprávnené činnosti pre potreby subjektov zapojených do EŠIF</w:t>
      </w:r>
    </w:p>
    <w:p w:rsidR="00B745CD" w:rsidRDefault="00B745CD" w:rsidP="00B745CD">
      <w:pPr>
        <w:spacing w:after="0" w:line="240" w:lineRule="auto"/>
        <w:ind w:left="709" w:firstLine="709"/>
        <w:rPr>
          <w:rFonts w:asciiTheme="minorHAnsi" w:hAnsiTheme="minorHAnsi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 w:rsidRPr="00E066B2">
        <w:rPr>
          <w:rFonts w:asciiTheme="minorHAnsi" w:hAnsiTheme="minorHAnsi"/>
        </w:rPr>
        <w:t xml:space="preserve">ako útvar </w:t>
      </w:r>
      <w:r>
        <w:rPr>
          <w:rFonts w:asciiTheme="minorHAnsi" w:hAnsiTheme="minorHAnsi"/>
        </w:rPr>
        <w:t>zabezpečujúci stratégiu riadenia a vzdelávanie AK EŠIF (od 15.5.2016)</w:t>
      </w:r>
    </w:p>
    <w:p w:rsidR="00B745CD" w:rsidRDefault="00B745CD" w:rsidP="00B745CD">
      <w:pPr>
        <w:spacing w:after="0" w:line="240" w:lineRule="auto"/>
        <w:ind w:left="1416" w:firstLine="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>
        <w:rPr>
          <w:rFonts w:asciiTheme="minorHAnsi" w:eastAsia="Times New Roman" w:hAnsiTheme="minorHAnsi"/>
          <w:lang w:eastAsia="sk-SK"/>
        </w:rPr>
        <w:t>ako útvar zabezpečujúci informovanie a komunikáciu na úrovni PD a OP TP (od 1.6.2016)</w:t>
      </w:r>
    </w:p>
    <w:p w:rsidR="00B745CD" w:rsidRPr="00E066B2" w:rsidRDefault="00B745CD" w:rsidP="00B745CD">
      <w:pPr>
        <w:spacing w:after="0" w:line="240" w:lineRule="auto"/>
        <w:ind w:left="709" w:firstLine="709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>
        <w:rPr>
          <w:rFonts w:asciiTheme="minorHAnsi" w:eastAsia="Times New Roman" w:hAnsiTheme="minorHAnsi"/>
          <w:lang w:eastAsia="sk-SK"/>
        </w:rPr>
        <w:t>ako Inštitút pre stratégie a analýzy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gestor HP UR</w:t>
      </w:r>
      <w:r>
        <w:rPr>
          <w:rFonts w:asciiTheme="minorHAnsi" w:eastAsia="Times New Roman" w:hAnsiTheme="minorHAnsi"/>
          <w:lang w:eastAsia="sk-SK"/>
        </w:rPr>
        <w:t xml:space="preserve"> (do 31.5.2016)</w:t>
      </w:r>
    </w:p>
    <w:p w:rsidR="00B745CD" w:rsidRDefault="00B745CD" w:rsidP="00B745CD">
      <w:pPr>
        <w:spacing w:after="0" w:line="240" w:lineRule="auto"/>
        <w:ind w:left="1416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ako Národný orgán, národný kontaktný bod pre programy nadnárodnej spolupráce </w:t>
      </w:r>
      <w:r>
        <w:rPr>
          <w:rFonts w:asciiTheme="minorHAnsi" w:eastAsia="Times New Roman" w:hAnsiTheme="minorHAnsi"/>
          <w:lang w:eastAsia="sk-SK"/>
        </w:rPr>
        <w:t>a</w:t>
      </w:r>
      <w:r w:rsidRPr="00BF3227">
        <w:rPr>
          <w:rFonts w:asciiTheme="minorHAnsi" w:eastAsia="Times New Roman" w:hAnsiTheme="minorHAnsi"/>
          <w:lang w:eastAsia="sk-SK"/>
        </w:rPr>
        <w:t xml:space="preserve"> Európskej územnej spolupráce (NO a NKB pre PNS a EÚS)</w:t>
      </w:r>
    </w:p>
    <w:p w:rsidR="00B745CD" w:rsidRDefault="00B745CD" w:rsidP="00B745CD">
      <w:pPr>
        <w:spacing w:after="0" w:line="240" w:lineRule="auto"/>
        <w:ind w:left="1416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>
        <w:rPr>
          <w:rFonts w:asciiTheme="minorHAnsi" w:eastAsia="Times New Roman" w:hAnsiTheme="minorHAnsi"/>
          <w:lang w:eastAsia="sk-SK"/>
        </w:rPr>
        <w:t>ako orgán prvostupňovej kontroly programov nadnárodnej spolupráce</w:t>
      </w:r>
    </w:p>
    <w:p w:rsidR="00B745CD" w:rsidRDefault="00B745CD" w:rsidP="00B745CD">
      <w:pPr>
        <w:spacing w:after="0" w:line="240" w:lineRule="auto"/>
        <w:ind w:left="1416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OCKÚ OLAF</w:t>
      </w:r>
    </w:p>
    <w:p w:rsidR="00B745CD" w:rsidRDefault="00B745CD" w:rsidP="00B745CD">
      <w:pPr>
        <w:spacing w:after="0" w:line="240" w:lineRule="auto"/>
        <w:ind w:left="426" w:firstLine="708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</w:t>
      </w:r>
      <w:r>
        <w:rPr>
          <w:rFonts w:asciiTheme="minorHAnsi" w:eastAsia="Times New Roman" w:hAnsiTheme="minorHAnsi"/>
          <w:lang w:eastAsia="sk-SK"/>
        </w:rPr>
        <w:t>Úrad podpredsedu vlády SR pre investície a informatizáciu (od 1.6.2016)</w:t>
      </w:r>
    </w:p>
    <w:p w:rsidR="00B745CD" w:rsidRPr="00E066B2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 </w:t>
      </w:r>
      <w:r w:rsidRPr="00E066B2">
        <w:rPr>
          <w:rFonts w:asciiTheme="minorHAnsi" w:eastAsia="Times New Roman" w:hAnsiTheme="minorHAnsi"/>
          <w:lang w:eastAsia="sk-SK"/>
        </w:rPr>
        <w:t>ako CKO</w:t>
      </w:r>
    </w:p>
    <w:p w:rsidR="00B745CD" w:rsidRPr="00030CB0" w:rsidRDefault="00B745CD" w:rsidP="00030CB0">
      <w:pPr>
        <w:pStyle w:val="Odsekzoznamu"/>
        <w:numPr>
          <w:ilvl w:val="0"/>
          <w:numId w:val="34"/>
        </w:numPr>
        <w:rPr>
          <w:rFonts w:asciiTheme="minorHAnsi" w:hAnsiTheme="minorHAnsi"/>
        </w:rPr>
      </w:pPr>
      <w:r w:rsidRPr="00030CB0">
        <w:rPr>
          <w:rFonts w:asciiTheme="minorHAnsi" w:hAnsiTheme="minorHAnsi"/>
        </w:rPr>
        <w:t>ako gestor HP UR</w:t>
      </w:r>
    </w:p>
    <w:p w:rsidR="00030CB0" w:rsidRPr="00030CB0" w:rsidRDefault="00030CB0" w:rsidP="00030CB0">
      <w:pPr>
        <w:pStyle w:val="Odsekzoznamu"/>
        <w:numPr>
          <w:ilvl w:val="0"/>
          <w:numId w:val="34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ako </w:t>
      </w:r>
      <w:r w:rsidRPr="006A64D4">
        <w:rPr>
          <w:rFonts w:asciiTheme="minorHAnsi" w:hAnsiTheme="minorHAnsi"/>
        </w:rPr>
        <w:t>útvar zabezpečujúci strategické plánovanie a strategické riadenie investícií projektov financovaných z</w:t>
      </w:r>
      <w:r>
        <w:rPr>
          <w:rFonts w:asciiTheme="minorHAnsi" w:hAnsiTheme="minorHAnsi"/>
        </w:rPr>
        <w:t> </w:t>
      </w:r>
      <w:r w:rsidRPr="00030CB0">
        <w:rPr>
          <w:rFonts w:asciiTheme="minorHAnsi" w:hAnsiTheme="minorHAnsi"/>
          <w:sz w:val="22"/>
          <w:szCs w:val="22"/>
        </w:rPr>
        <w:t xml:space="preserve">EŠIF (od </w:t>
      </w:r>
      <w:r w:rsidR="00896B75">
        <w:rPr>
          <w:rFonts w:asciiTheme="minorHAnsi" w:hAnsiTheme="minorHAnsi"/>
          <w:sz w:val="22"/>
          <w:szCs w:val="22"/>
        </w:rPr>
        <w:t>2</w:t>
      </w:r>
      <w:r w:rsidRPr="00030CB0">
        <w:rPr>
          <w:rFonts w:asciiTheme="minorHAnsi" w:hAnsiTheme="minorHAnsi"/>
          <w:sz w:val="22"/>
          <w:szCs w:val="22"/>
        </w:rPr>
        <w:t>1.12.2016)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Ministerstvo životného prostredia Slovenskej republiky ako koordinátor EIA pre EŠIF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Ministerstvo práce, sociálnych vecí a rodiny SR ako gestor HP </w:t>
      </w:r>
      <w:proofErr w:type="spellStart"/>
      <w:r w:rsidRPr="00BF3227">
        <w:rPr>
          <w:rFonts w:asciiTheme="minorHAnsi" w:eastAsia="Times New Roman" w:hAnsiTheme="minorHAnsi"/>
          <w:lang w:eastAsia="sk-SK"/>
        </w:rPr>
        <w:t>RMŽaND</w:t>
      </w:r>
      <w:proofErr w:type="spellEnd"/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Ministerstvo vnútra SR ako koordinátor HP MRK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Ministerstvo zahraničných vecí a európskych záležitostí Slovenskej republiky                                                                 • Ministerstvo financií Slovenskej republiky: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certifikačný orgán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orgán auditu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organizačné útvary podieľajúce sa na implementácii FN</w:t>
      </w:r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</w:t>
      </w:r>
      <w:proofErr w:type="spellStart"/>
      <w:r w:rsidRPr="00BF3227">
        <w:rPr>
          <w:rFonts w:asciiTheme="minorHAnsi" w:eastAsia="Times New Roman" w:hAnsiTheme="minorHAnsi"/>
          <w:lang w:eastAsia="sk-SK"/>
        </w:rPr>
        <w:t>DataCentrum</w:t>
      </w:r>
      <w:proofErr w:type="spellEnd"/>
    </w:p>
    <w:p w:rsidR="00B745CD" w:rsidRPr="00BF3227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Úrad vládneho auditu </w:t>
      </w:r>
    </w:p>
    <w:p w:rsidR="00B745CD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Protimonopolný úrad Slovenskej republiky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o ako koordinátor štátnej pomoci </w:t>
      </w:r>
    </w:p>
    <w:p w:rsidR="00B745CD" w:rsidRPr="00BF3227" w:rsidRDefault="00B745CD" w:rsidP="00B745CD">
      <w:pPr>
        <w:spacing w:after="0" w:line="240" w:lineRule="auto"/>
        <w:ind w:left="1134" w:firstLine="282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o  ako orgán pre ochranu hospodárskej súťaže</w:t>
      </w:r>
    </w:p>
    <w:p w:rsidR="00B745CD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>• Úrad pre verejné obstarávanie</w:t>
      </w:r>
    </w:p>
    <w:p w:rsidR="00B745CD" w:rsidRDefault="00B745CD" w:rsidP="00B745CD">
      <w:pPr>
        <w:spacing w:after="0" w:line="240" w:lineRule="auto"/>
        <w:ind w:left="1134"/>
        <w:rPr>
          <w:rFonts w:asciiTheme="minorHAnsi" w:eastAsia="Times New Roman" w:hAnsiTheme="minorHAnsi"/>
          <w:lang w:eastAsia="sk-SK"/>
        </w:rPr>
      </w:pPr>
      <w:r w:rsidRPr="00BF3227">
        <w:rPr>
          <w:rFonts w:asciiTheme="minorHAnsi" w:eastAsia="Times New Roman" w:hAnsiTheme="minorHAnsi"/>
          <w:lang w:eastAsia="sk-SK"/>
        </w:rPr>
        <w:t xml:space="preserve">• </w:t>
      </w:r>
      <w:r w:rsidRPr="001003D4">
        <w:rPr>
          <w:rFonts w:asciiTheme="minorHAnsi" w:eastAsia="Times New Roman" w:hAnsiTheme="minorHAnsi"/>
          <w:lang w:eastAsia="sk-SK"/>
        </w:rPr>
        <w:t>Najvyšší kontrolný úrad SR</w:t>
      </w:r>
    </w:p>
    <w:p w:rsidR="00F43559" w:rsidRDefault="00F43559" w:rsidP="00F43559">
      <w:pPr>
        <w:spacing w:after="0" w:line="240" w:lineRule="auto"/>
        <w:rPr>
          <w:rFonts w:asciiTheme="minorHAnsi" w:hAnsiTheme="minorHAnsi"/>
          <w:u w:val="single"/>
        </w:rPr>
      </w:pPr>
    </w:p>
    <w:p w:rsidR="00767303" w:rsidRDefault="00FE3E48" w:rsidP="00741FA1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 w:rsidR="00741FA1">
        <w:rPr>
          <w:u w:val="single"/>
        </w:rPr>
        <w:t xml:space="preserve">  </w:t>
      </w:r>
    </w:p>
    <w:p w:rsidR="006032F8" w:rsidRDefault="00030CB0" w:rsidP="006032F8">
      <w:pPr>
        <w:spacing w:before="240" w:after="240"/>
        <w:jc w:val="both"/>
        <w:rPr>
          <w:i/>
        </w:rPr>
      </w:pPr>
      <w:r w:rsidRPr="00B92E05">
        <w:rPr>
          <w:i/>
        </w:rPr>
        <w:t>Úrad podpredsedu vlády Slovenskej republiky pre investície a informatizáciu</w:t>
      </w:r>
      <w:r>
        <w:rPr>
          <w:i/>
        </w:rPr>
        <w:t xml:space="preserve"> (ÚPPVII</w:t>
      </w:r>
      <w:r w:rsidR="00FB7FF9">
        <w:rPr>
          <w:i/>
        </w:rPr>
        <w:t xml:space="preserve"> SR</w:t>
      </w:r>
      <w:r>
        <w:rPr>
          <w:i/>
        </w:rPr>
        <w:t xml:space="preserve">) ako </w:t>
      </w:r>
      <w:r w:rsidR="00FB7FF9" w:rsidRPr="00FB7FF9">
        <w:rPr>
          <w:i/>
        </w:rPr>
        <w:t>útvar zabezpečujúc</w:t>
      </w:r>
      <w:r w:rsidR="00FB7FF9">
        <w:rPr>
          <w:i/>
        </w:rPr>
        <w:t>i</w:t>
      </w:r>
      <w:r w:rsidR="00FB7FF9" w:rsidRPr="00FB7FF9">
        <w:rPr>
          <w:i/>
        </w:rPr>
        <w:t xml:space="preserve"> strategické plánovanie a strategické riadenie investícií projektov financovaných z EŠIF</w:t>
      </w:r>
      <w:r>
        <w:rPr>
          <w:i/>
        </w:rPr>
        <w:t xml:space="preserve"> bol Uznesením MV OP TP č.6 zo dňa </w:t>
      </w:r>
      <w:r w:rsidR="00896B75">
        <w:rPr>
          <w:i/>
        </w:rPr>
        <w:t>2</w:t>
      </w:r>
      <w:r>
        <w:rPr>
          <w:i/>
        </w:rPr>
        <w:t>1.12.2016</w:t>
      </w:r>
      <w:r w:rsidR="0001094B" w:rsidRPr="00B92E05">
        <w:rPr>
          <w:i/>
        </w:rPr>
        <w:t xml:space="preserve"> </w:t>
      </w:r>
      <w:r w:rsidR="00FB7FF9">
        <w:rPr>
          <w:i/>
        </w:rPr>
        <w:t xml:space="preserve">zaradený medzi prijímateľov OP TP.  </w:t>
      </w:r>
      <w:r w:rsidR="00FB7FF9" w:rsidRPr="00B92E05">
        <w:rPr>
          <w:i/>
        </w:rPr>
        <w:t xml:space="preserve">V zmysle </w:t>
      </w:r>
      <w:r w:rsidR="00FB7FF9">
        <w:rPr>
          <w:i/>
        </w:rPr>
        <w:t xml:space="preserve">žiadosti ÚPPVII SR o možnosť predloženia projektu v rámci uvedeného vyzvania doplnil RO OP TP nového prijímateľa do vyzvania .  </w:t>
      </w:r>
    </w:p>
    <w:p w:rsidR="001341B1" w:rsidRPr="00663983" w:rsidRDefault="001341B1" w:rsidP="001341B1">
      <w:pPr>
        <w:jc w:val="both"/>
        <w:rPr>
          <w:i/>
        </w:rPr>
      </w:pPr>
      <w:r>
        <w:rPr>
          <w:i/>
        </w:rPr>
        <w:lastRenderedPageBreak/>
        <w:t>-----------------------------------------------------------------------------------------------------------------------</w:t>
      </w:r>
    </w:p>
    <w:p w:rsidR="001D5E8A" w:rsidRDefault="001D5E8A" w:rsidP="001D5E8A">
      <w:pPr>
        <w:spacing w:before="240" w:after="240"/>
        <w:jc w:val="both"/>
        <w:rPr>
          <w:b/>
          <w:u w:val="single"/>
        </w:rPr>
      </w:pPr>
      <w:r w:rsidRPr="00056C21">
        <w:rPr>
          <w:rFonts w:asciiTheme="minorHAnsi" w:hAnsiTheme="minorHAnsi"/>
          <w:color w:val="000000"/>
        </w:rPr>
        <w:t xml:space="preserve">RO OP TP </w:t>
      </w:r>
      <w:r>
        <w:rPr>
          <w:rFonts w:asciiTheme="minorHAnsi" w:hAnsiTheme="minorHAnsi"/>
          <w:color w:val="000000"/>
        </w:rPr>
        <w:t>upravil</w:t>
      </w:r>
      <w:r w:rsidRPr="00056C21">
        <w:rPr>
          <w:rFonts w:asciiTheme="minorHAnsi" w:hAnsiTheme="minorHAnsi"/>
          <w:color w:val="000000"/>
        </w:rPr>
        <w:t xml:space="preserve"> </w:t>
      </w:r>
      <w:r w:rsidR="00671AB6">
        <w:rPr>
          <w:rFonts w:asciiTheme="minorHAnsi" w:hAnsiTheme="minorHAnsi"/>
          <w:color w:val="000000"/>
        </w:rPr>
        <w:t xml:space="preserve">text v časti 3 Overovanie podmienok poskytnutia príspevku a ďalšie informácie k vyzvaniu </w:t>
      </w:r>
      <w:r w:rsidR="00671AB6" w:rsidRPr="00EE17F9">
        <w:rPr>
          <w:u w:val="single"/>
        </w:rPr>
        <w:t>nasledovne:</w:t>
      </w:r>
    </w:p>
    <w:p w:rsidR="00DB42B1" w:rsidRPr="0056566D" w:rsidRDefault="00DB42B1" w:rsidP="00DB42B1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DB42B1" w:rsidRDefault="00DB42B1" w:rsidP="00DB42B1">
      <w:pPr>
        <w:spacing w:before="240" w:after="240"/>
        <w:ind w:firstLine="360"/>
        <w:jc w:val="both"/>
      </w:pPr>
      <w:r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DB42B1" w:rsidRPr="00D56CE6" w:rsidRDefault="00DB42B1" w:rsidP="00DB42B1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DB42B1" w:rsidRPr="00393C22" w:rsidRDefault="00DB42B1" w:rsidP="00DB42B1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DB42B1" w:rsidRPr="00AE1A6C" w:rsidRDefault="00DB42B1" w:rsidP="00DB42B1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DB42B1" w:rsidRDefault="00DB42B1" w:rsidP="00DB42B1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/>
          <w:bCs/>
          <w:color w:val="000000"/>
          <w:u w:val="single"/>
        </w:rPr>
      </w:pPr>
      <w:r>
        <w:lastRenderedPageBreak/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DB42B1" w:rsidRDefault="00DB42B1" w:rsidP="00896B75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bCs/>
          <w:color w:val="000000"/>
        </w:rPr>
      </w:pPr>
    </w:p>
    <w:p w:rsidR="00896B75" w:rsidRPr="002D08EE" w:rsidRDefault="00DB42B1" w:rsidP="00896B75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bCs/>
          <w:color w:val="000000"/>
        </w:rPr>
        <w:t>Úprava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="00896B75"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Príprava zmluvy o poskytnutí NFP </w:t>
      </w:r>
    </w:p>
    <w:p w:rsidR="00DB42B1" w:rsidRPr="00E54FE7" w:rsidRDefault="00DB42B1" w:rsidP="00DB42B1">
      <w:pPr>
        <w:spacing w:before="240" w:after="240"/>
        <w:ind w:firstLine="360"/>
        <w:jc w:val="both"/>
      </w:pPr>
      <w:r w:rsidRPr="00E54FE7">
        <w:t xml:space="preserve">V zmysle  §  25  ods.  1 zákona o príspevku  z EŠIF sa príspevok  poskytuje prijímateľovi  na základe a v súlade so zmluvou o NFP uzavretou podľa § 269 ods. 2 Obchodného zákonníka. </w:t>
      </w:r>
    </w:p>
    <w:p w:rsidR="00DB42B1" w:rsidRPr="00E54FE7" w:rsidRDefault="00DB42B1" w:rsidP="00DB42B1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r w:rsidRPr="00E54FE7">
        <w:br/>
        <w:t xml:space="preserve">o 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r w:rsidRPr="00E54FE7">
        <w:br/>
        <w:t>o poskytnutí NFP.</w:t>
      </w:r>
    </w:p>
    <w:p w:rsidR="00DB42B1" w:rsidRPr="00E54FE7" w:rsidRDefault="00DB42B1" w:rsidP="00DB42B1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</w:t>
      </w:r>
      <w:r>
        <w:t xml:space="preserve"> poskytnutí </w:t>
      </w:r>
      <w:r w:rsidRPr="00E54FE7">
        <w:t>NFP a určí lehotu na prijatie návrhu žiadateľovi:</w:t>
      </w:r>
    </w:p>
    <w:p w:rsidR="00DB42B1" w:rsidRPr="00E54FE7" w:rsidRDefault="00DB42B1" w:rsidP="00DB42B1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DB42B1" w:rsidRPr="00E54FE7" w:rsidRDefault="00DB42B1" w:rsidP="00DB42B1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ktorý splnil podmienky určené vo výroku rozhodnutia podľa § 19 ods. 11 zákona o príspevku z EŠIF, ak boli podmienky vo výroku rozhodnutia určené a, </w:t>
      </w:r>
    </w:p>
    <w:p w:rsidR="00DB42B1" w:rsidRPr="00E54FE7" w:rsidRDefault="00DB42B1" w:rsidP="00DB42B1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DB42B1" w:rsidRPr="001132F4" w:rsidRDefault="00DB42B1" w:rsidP="00DB42B1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DB42B1" w:rsidRPr="001132F4" w:rsidRDefault="00DB42B1" w:rsidP="00DB42B1">
      <w:pPr>
        <w:spacing w:before="240" w:after="240"/>
        <w:ind w:firstLine="360"/>
        <w:jc w:val="both"/>
      </w:pPr>
      <w:r w:rsidRPr="001132F4">
        <w:t xml:space="preserve"> Zmluva o poskytnutí NFP, ktorú RO OP TP uzavrie so Žiadateľom po</w:t>
      </w:r>
      <w:r>
        <w:t xml:space="preserve"> ukončení procesu schvaľovania </w:t>
      </w:r>
      <w:r w:rsidRPr="001132F4">
        <w:t>a výbere vhodných projektov, upravuje podrobné podmienky realizácie schválenéh</w:t>
      </w:r>
      <w:r>
        <w:t xml:space="preserve">o projektu </w:t>
      </w:r>
      <w:r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DB42B1" w:rsidRDefault="00DB42B1" w:rsidP="00DB42B1">
      <w:pPr>
        <w:spacing w:before="240" w:after="240"/>
        <w:ind w:firstLine="360"/>
        <w:jc w:val="both"/>
      </w:pPr>
      <w:r w:rsidRPr="001132F4">
        <w:t>Vzor zmluvy o poskytnutí NFP</w:t>
      </w:r>
      <w:r w:rsidRPr="00E54FE7">
        <w:t xml:space="preserve"> </w:t>
      </w:r>
      <w:r>
        <w:t xml:space="preserve">ako aj </w:t>
      </w:r>
      <w:r w:rsidRPr="001132F4">
        <w:t>Rozhodnuti</w:t>
      </w:r>
      <w:r>
        <w:t>a</w:t>
      </w:r>
      <w:r w:rsidRPr="001132F4">
        <w:t xml:space="preserve"> o schválení </w:t>
      </w:r>
      <w:proofErr w:type="spellStart"/>
      <w:r w:rsidRPr="001132F4">
        <w:t>ŽoNFP</w:t>
      </w:r>
      <w:proofErr w:type="spellEnd"/>
      <w:r>
        <w:t xml:space="preserve"> v prípade</w:t>
      </w:r>
      <w:r w:rsidRPr="001132F4">
        <w:t xml:space="preserve"> ak je prij</w:t>
      </w:r>
      <w:r>
        <w:t xml:space="preserve">ímateľ a RO OP TP tá istá osoba, </w:t>
      </w:r>
      <w:r w:rsidRPr="001132F4">
        <w:t xml:space="preserve"> </w:t>
      </w:r>
      <w:r>
        <w:t>sú</w:t>
      </w:r>
      <w:r w:rsidRPr="001132F4">
        <w:t xml:space="preserve"> zverejnen</w:t>
      </w:r>
      <w:r>
        <w:t>é</w:t>
      </w:r>
      <w:r w:rsidRPr="001132F4">
        <w:t xml:space="preserve"> na webovom sídle RO</w:t>
      </w:r>
      <w:r>
        <w:t xml:space="preserve"> OP TP </w:t>
      </w:r>
      <w:r w:rsidRPr="001132F4">
        <w:t xml:space="preserve"> </w:t>
      </w:r>
      <w:hyperlink r:id="rId10" w:history="1">
        <w:r w:rsidRPr="002E00FB">
          <w:rPr>
            <w:rStyle w:val="Hypertextovprepojenie"/>
          </w:rPr>
          <w:t>http://optp.vlada.gov.sk</w:t>
        </w:r>
      </w:hyperlink>
      <w:r>
        <w:t>. V</w:t>
      </w:r>
      <w:r w:rsidRPr="001132F4">
        <w:t xml:space="preserve"> prípade zmeny vzoru zmluvy o poskytnutí NFP</w:t>
      </w:r>
      <w:r>
        <w:t>/</w:t>
      </w:r>
      <w:r w:rsidRPr="001132F4">
        <w:t xml:space="preserve"> Rozhodnuti</w:t>
      </w:r>
      <w:r>
        <w:t>a</w:t>
      </w:r>
      <w:r w:rsidRPr="001132F4">
        <w:t xml:space="preserve"> o schválení </w:t>
      </w:r>
      <w:proofErr w:type="spellStart"/>
      <w:r w:rsidRPr="001132F4">
        <w:t>ŽoNFP</w:t>
      </w:r>
      <w:proofErr w:type="spellEnd"/>
      <w:r w:rsidRPr="001132F4">
        <w:t xml:space="preserve"> zverejnen</w:t>
      </w:r>
      <w:r>
        <w:t>ých</w:t>
      </w:r>
      <w:r w:rsidRPr="001132F4">
        <w:t xml:space="preserve"> na webovom sídle RO OP TP, ktor</w:t>
      </w:r>
      <w:r>
        <w:t>é</w:t>
      </w:r>
      <w:r w:rsidRPr="001132F4">
        <w:t xml:space="preserve"> nie </w:t>
      </w:r>
      <w:r>
        <w:t>sú</w:t>
      </w:r>
      <w:r w:rsidRPr="001132F4">
        <w:t xml:space="preserve"> prílohou vyzvania,  </w:t>
      </w:r>
      <w:r>
        <w:t xml:space="preserve">RO </w:t>
      </w:r>
      <w:r w:rsidRPr="001132F4">
        <w:t>nahradí zverejnen</w:t>
      </w:r>
      <w:r>
        <w:t>é</w:t>
      </w:r>
      <w:r w:rsidRPr="001132F4">
        <w:t xml:space="preserve"> vzor</w:t>
      </w:r>
      <w:r>
        <w:t>y</w:t>
      </w:r>
      <w:r w:rsidRPr="001132F4">
        <w:t xml:space="preserve"> novou verziou. Predchádzajúc</w:t>
      </w:r>
      <w:r>
        <w:t>e</w:t>
      </w:r>
      <w:r w:rsidRPr="001132F4">
        <w:t xml:space="preserve"> verzi</w:t>
      </w:r>
      <w:r>
        <w:t>e</w:t>
      </w:r>
      <w:r w:rsidRPr="001132F4">
        <w:t xml:space="preserve"> </w:t>
      </w:r>
      <w:r>
        <w:t>sú</w:t>
      </w:r>
      <w:r w:rsidRPr="001132F4">
        <w:t xml:space="preserve"> dostupn</w:t>
      </w:r>
      <w:r>
        <w:t>é</w:t>
      </w:r>
      <w:r w:rsidRPr="001132F4">
        <w:t xml:space="preserve">   v archíve   s jasným   označením   čísla   verzie   a vymedzeným   obdobím   platnosti.</w:t>
      </w:r>
    </w:p>
    <w:p w:rsidR="00DB42B1" w:rsidRP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zašle žiadateľovi návrh na uzavretie zmluvy o poskytnutí NFP bezodkladne po podpise štatutárnym orgánom. V zmysle zákona č. 305/2013 o elektronickej podobe výkonu pôsobnosti orgánov verejnej moci a o zmene a doplnení niektorých zákonov (zákon o </w:t>
      </w:r>
      <w:proofErr w:type="spellStart"/>
      <w:r w:rsidRPr="00DB42B1">
        <w:rPr>
          <w:rFonts w:asciiTheme="minorHAnsi" w:eastAsiaTheme="minorHAnsi" w:hAnsiTheme="minorHAnsi"/>
          <w:color w:val="000000"/>
          <w:u w:val="single"/>
        </w:rPr>
        <w:t>e-Governmente</w:t>
      </w:r>
      <w:proofErr w:type="spellEnd"/>
      <w:r w:rsidRPr="00DB42B1">
        <w:rPr>
          <w:rFonts w:asciiTheme="minorHAnsi" w:eastAsiaTheme="minorHAnsi" w:hAnsiTheme="minorHAnsi"/>
          <w:color w:val="000000"/>
          <w:u w:val="single"/>
        </w:rPr>
        <w:t>) je</w:t>
      </w:r>
      <w:r w:rsidRPr="00DB42B1">
        <w:rPr>
          <w:rFonts w:asciiTheme="minorHAnsi" w:eastAsiaTheme="minorHAnsi" w:hAnsiTheme="minorHAnsi"/>
          <w:color w:val="000000"/>
          <w:u w:val="single"/>
        </w:rPr>
        <w:br/>
        <w:t xml:space="preserve">od 1. 11. 2016 zmluva o poskytnutí NFP vyhotovená v elektronickej podobe a zmluvné strany ju podpisujú kvalifikovaným elektronickým podpisom (na základe kvalifikovaného certifikátu, </w:t>
      </w:r>
      <w:r w:rsidRPr="00DB42B1">
        <w:rPr>
          <w:rFonts w:asciiTheme="minorHAnsi" w:eastAsiaTheme="minorHAnsi" w:hAnsiTheme="minorHAnsi"/>
          <w:color w:val="000000"/>
          <w:u w:val="single"/>
        </w:rPr>
        <w:lastRenderedPageBreak/>
        <w:t xml:space="preserve">mandátneho certifikátu). Uzatvorenie zmluvy v elektronickej podobe sa rovnako vzťahuje aj na uzavretie každého dodatku k Zmluve o poskytnutí NFP. </w:t>
      </w:r>
    </w:p>
    <w:p w:rsidR="00DB42B1" w:rsidRP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>Iba v riadne odôvodnených prípadoch môže RO OP TP pristúpiť k podpisu zmluvy v tlačenej forme. V tomto prípade RO OP TP zašle žiadateľovi návrh na uzavretie zmluvy o poskytnutí NFP v minimálne šiestich rovnopisoch doporučenou poštou, alebo iným vhodným spôsobom bezodkladne po podpise štatutárnym orgánom.</w:t>
      </w:r>
    </w:p>
    <w:p w:rsidR="00DB42B1" w:rsidRP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RO OP TP poskytne žiadateľovi lehotu na prijatie návrhu na uzavretie zmluvy o poskytnutí NFP (minimálne 5 pracovných dní). </w:t>
      </w:r>
    </w:p>
    <w:p w:rsidR="00DB42B1" w:rsidRPr="00DB42B1" w:rsidRDefault="00DB42B1" w:rsidP="00DB42B1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  <w:u w:val="single"/>
        </w:rPr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Návrh na uzavretie zmluvy o poskytnutí NFP zaniká dňom uplynutia lehoty určenej v tomto návrhu alebo doručením prejavu žiadateľa o odmietnutí návrhu na uzavretie zmluvy o poskytnutí NFP. Žiadateľ je zároveň oprávnený rozhodnúť o nevyužití poskytnutej minimálnej lehoty na prijatie návrhu a o následnom prijatí/odmietnutí návrhu na uzavretie zmluvy o poskytnutí NFP. </w:t>
      </w:r>
    </w:p>
    <w:p w:rsidR="00DB42B1" w:rsidRPr="00AD5488" w:rsidRDefault="00DB42B1" w:rsidP="00DB42B1">
      <w:pPr>
        <w:spacing w:before="240" w:after="240"/>
        <w:ind w:firstLine="360"/>
        <w:jc w:val="both"/>
      </w:pPr>
      <w:r w:rsidRPr="00DB42B1">
        <w:rPr>
          <w:rFonts w:asciiTheme="minorHAnsi" w:eastAsiaTheme="minorHAnsi" w:hAnsiTheme="minorHAnsi"/>
          <w:color w:val="000000"/>
          <w:u w:val="single"/>
        </w:rPr>
        <w:t xml:space="preserve">Žiadateľ zároveň zasiela na RO OP TP aj podpisový vzor, prípadne aj splnomocnenie, v dvoch rovnopisoch (vzor podpisového vzoru je zverejnený pri zmluve o NFP na webovom sídle RO OP TP </w:t>
      </w:r>
      <w:hyperlink r:id="rId11" w:history="1">
        <w:r w:rsidRPr="00DB42B1">
          <w:rPr>
            <w:rStyle w:val="Hypertextovprepojenie"/>
            <w:rFonts w:asciiTheme="minorHAnsi" w:eastAsiaTheme="minorHAnsi" w:hAnsiTheme="minorHAnsi"/>
          </w:rPr>
          <w:t>http://www.optp.vlada.gov.sk/ine-dokumenty/</w:t>
        </w:r>
      </w:hyperlink>
      <w:r w:rsidRPr="00DB42B1">
        <w:rPr>
          <w:rFonts w:asciiTheme="minorHAnsi" w:eastAsiaTheme="minorHAnsi" w:hAnsiTheme="minorHAnsi"/>
          <w:color w:val="000000"/>
          <w:u w:val="single"/>
        </w:rPr>
        <w:t>).</w:t>
      </w:r>
      <w:r w:rsidRPr="002D08EE">
        <w:rPr>
          <w:rFonts w:asciiTheme="minorHAnsi" w:eastAsiaTheme="minorHAnsi" w:hAnsiTheme="minorHAnsi"/>
          <w:color w:val="000000"/>
        </w:rPr>
        <w:t xml:space="preserve"> </w:t>
      </w:r>
      <w:r w:rsidRPr="00AD5488">
        <w:t>Deň doručenia prijatého návrhu na uza</w:t>
      </w:r>
      <w:r>
        <w:t xml:space="preserve">vretie zmluvy o poskytnutí NFP </w:t>
      </w:r>
      <w:r w:rsidRPr="00AD5488">
        <w:t xml:space="preserve">je dňom nadobudnutia platnosti a zároveň momentom uzavretia zmluvy. </w:t>
      </w:r>
    </w:p>
    <w:p w:rsidR="00DB42B1" w:rsidRDefault="00DB42B1" w:rsidP="00DB42B1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 poskytnutí NFP</w:t>
      </w:r>
      <w:r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>
        <w:t>Právny nárok na poskytnutie príspevku vzniká nadobudnutím účinnosti zmluvy o NFP alebo nadobudnutím právoplatnosti Rozhodnutia, ak je prijímateľ a RO OP TP tá istá osoba.</w:t>
      </w:r>
    </w:p>
    <w:p w:rsidR="00DB42B1" w:rsidRPr="00AD5488" w:rsidRDefault="00DB42B1" w:rsidP="00DB42B1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896B75" w:rsidRDefault="00DB42B1" w:rsidP="00DB42B1">
      <w:pPr>
        <w:spacing w:before="240" w:after="240"/>
        <w:jc w:val="both"/>
        <w:rPr>
          <w:b/>
          <w:color w:val="000000"/>
        </w:rPr>
      </w:pPr>
      <w:r>
        <w:t>Zmeny projektov ako aj podmienky a spôsob ukončovania zmluvného vzťahu sú bližšie popísané v Príručke pre prijímateľa.</w:t>
      </w:r>
    </w:p>
    <w:p w:rsidR="00896B75" w:rsidRDefault="00896B75" w:rsidP="00896B75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896B75" w:rsidRDefault="00896B75" w:rsidP="00896B75">
      <w:pPr>
        <w:spacing w:before="240" w:after="240"/>
        <w:jc w:val="both"/>
        <w:rPr>
          <w:i/>
        </w:rPr>
      </w:pPr>
      <w:r>
        <w:rPr>
          <w:i/>
        </w:rPr>
        <w:t xml:space="preserve">RO OP TP uvedenú časť </w:t>
      </w:r>
      <w:r w:rsidR="00DB42B1" w:rsidRPr="00DB42B1">
        <w:rPr>
          <w:i/>
          <w:u w:val="single"/>
        </w:rPr>
        <w:t>Overovanie podmienok poskytnutia príspevku</w:t>
      </w:r>
      <w:r w:rsidR="00DB42B1">
        <w:rPr>
          <w:i/>
        </w:rPr>
        <w:t xml:space="preserve"> doplnil v nadväznosti na  Metodický výklad CKO č.4 a časť </w:t>
      </w:r>
      <w:r w:rsidR="00DB42B1" w:rsidRPr="00DB42B1">
        <w:rPr>
          <w:rFonts w:asciiTheme="minorHAnsi" w:eastAsiaTheme="minorHAnsi" w:hAnsiTheme="minorHAnsi"/>
          <w:bCs/>
          <w:i/>
          <w:color w:val="000000"/>
          <w:u w:val="single"/>
        </w:rPr>
        <w:t>Príprava zmluvy o poskytnutí NFP</w:t>
      </w:r>
      <w:r w:rsidR="00DB42B1" w:rsidRPr="002D08EE">
        <w:rPr>
          <w:rFonts w:asciiTheme="minorHAnsi" w:eastAsiaTheme="minorHAnsi" w:hAnsiTheme="minorHAnsi"/>
          <w:b/>
          <w:bCs/>
          <w:color w:val="000000"/>
          <w:u w:val="single"/>
        </w:rPr>
        <w:t xml:space="preserve"> </w:t>
      </w:r>
      <w:r w:rsidRPr="00C0525C">
        <w:rPr>
          <w:i/>
        </w:rPr>
        <w:t>aktualizova</w:t>
      </w:r>
      <w:r>
        <w:rPr>
          <w:i/>
        </w:rPr>
        <w:t>l</w:t>
      </w:r>
      <w:r w:rsidRPr="00C0525C">
        <w:rPr>
          <w:i/>
        </w:rPr>
        <w:t xml:space="preserve"> </w:t>
      </w:r>
      <w:r>
        <w:rPr>
          <w:i/>
        </w:rPr>
        <w:t xml:space="preserve">(podčiarknutý text) </w:t>
      </w:r>
      <w:r w:rsidRPr="00C0525C">
        <w:rPr>
          <w:i/>
        </w:rPr>
        <w:t>s oh</w:t>
      </w:r>
      <w:r>
        <w:rPr>
          <w:i/>
        </w:rPr>
        <w:t>ľ</w:t>
      </w:r>
      <w:r w:rsidRPr="00C0525C">
        <w:rPr>
          <w:i/>
        </w:rPr>
        <w:t>adom na elektronick</w:t>
      </w:r>
      <w:r>
        <w:rPr>
          <w:i/>
        </w:rPr>
        <w:t>é</w:t>
      </w:r>
      <w:r w:rsidRPr="00C0525C">
        <w:rPr>
          <w:i/>
        </w:rPr>
        <w:t xml:space="preserve"> podpisovanie zml</w:t>
      </w:r>
      <w:r>
        <w:rPr>
          <w:i/>
        </w:rPr>
        <w:t>ú</w:t>
      </w:r>
      <w:r w:rsidRPr="00C0525C">
        <w:rPr>
          <w:i/>
        </w:rPr>
        <w:t>v o NFP a intern</w:t>
      </w:r>
      <w:r>
        <w:rPr>
          <w:i/>
        </w:rPr>
        <w:t>ý</w:t>
      </w:r>
      <w:r w:rsidRPr="00C0525C">
        <w:rPr>
          <w:i/>
        </w:rPr>
        <w:t>ch rozhodnut</w:t>
      </w:r>
      <w:r>
        <w:rPr>
          <w:i/>
        </w:rPr>
        <w:t>í</w:t>
      </w:r>
      <w:r w:rsidRPr="00C0525C">
        <w:rPr>
          <w:rFonts w:asciiTheme="minorHAnsi" w:eastAsiaTheme="minorHAnsi" w:hAnsiTheme="minorHAnsi"/>
          <w:color w:val="FF0000"/>
        </w:rPr>
        <w:t xml:space="preserve"> </w:t>
      </w:r>
      <w:r w:rsidRPr="00C0525C">
        <w:rPr>
          <w:i/>
        </w:rPr>
        <w:t xml:space="preserve">v zmysle zákona č. 305/2013 o elektronickej podobe výkonu pôsobnosti orgánov verejnej moci a o zmene a doplnení niektorých zákonov (zákon o </w:t>
      </w:r>
      <w:proofErr w:type="spellStart"/>
      <w:r w:rsidRPr="00C0525C">
        <w:rPr>
          <w:i/>
        </w:rPr>
        <w:t>e-Governmente</w:t>
      </w:r>
      <w:proofErr w:type="spellEnd"/>
      <w:r w:rsidRPr="00C0525C">
        <w:rPr>
          <w:i/>
        </w:rPr>
        <w:t>)</w:t>
      </w:r>
      <w:r>
        <w:rPr>
          <w:i/>
        </w:rPr>
        <w:t>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6032F8" w:rsidRDefault="006032F8">
      <w:pPr>
        <w:spacing w:after="0" w:line="240" w:lineRule="auto"/>
        <w:rPr>
          <w:rFonts w:asciiTheme="minorHAnsi" w:eastAsia="Times New Roman" w:hAnsiTheme="minorHAnsi"/>
          <w:bCs/>
          <w:lang w:eastAsia="sk-SK"/>
        </w:rPr>
      </w:pPr>
      <w:r>
        <w:rPr>
          <w:rFonts w:asciiTheme="minorHAnsi" w:hAnsiTheme="minorHAnsi"/>
          <w:bCs/>
        </w:rPr>
        <w:br w:type="page"/>
      </w:r>
    </w:p>
    <w:p w:rsidR="00261637" w:rsidRPr="00261637" w:rsidRDefault="00261637" w:rsidP="00261637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261637" w:rsidRDefault="00261637" w:rsidP="00261637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261637" w:rsidRPr="00544503" w:rsidRDefault="00DC6F68" w:rsidP="00261637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iné údaje a spôsob výpočtu ročných a kumulatívnych hodnôt.</w:t>
      </w:r>
    </w:p>
    <w:p w:rsidR="00261637" w:rsidRPr="00741FA1" w:rsidRDefault="00261637" w:rsidP="00261637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544503" w:rsidRDefault="00261637" w:rsidP="00544503">
      <w:pPr>
        <w:jc w:val="both"/>
        <w:rPr>
          <w:i/>
        </w:rPr>
      </w:pPr>
      <w:r w:rsidRPr="00767303">
        <w:rPr>
          <w:i/>
        </w:rPr>
        <w:t xml:space="preserve">RO OP TP </w:t>
      </w:r>
      <w:r w:rsidR="00DC6F68">
        <w:rPr>
          <w:i/>
        </w:rPr>
        <w:t xml:space="preserve">aktualizoval zoznam merateľných ukazovateľov z dôvodu </w:t>
      </w:r>
      <w:r w:rsidR="0064560E">
        <w:rPr>
          <w:i/>
        </w:rPr>
        <w:t xml:space="preserve">aktualizácie Číselníka merateľných ukazovateľov a </w:t>
      </w:r>
      <w:r w:rsidR="00DC6F68">
        <w:rPr>
          <w:i/>
        </w:rPr>
        <w:t>schválenia iných údajov prispievajúcich k sledovaniu princíp</w:t>
      </w:r>
      <w:r w:rsidR="00982DF6">
        <w:rPr>
          <w:i/>
        </w:rPr>
        <w:t>ov</w:t>
      </w:r>
      <w:r w:rsidR="00DC6F68">
        <w:rPr>
          <w:i/>
        </w:rPr>
        <w:t xml:space="preserve"> rovnosti mužov a žien a nediskriminácie gestorom HP </w:t>
      </w:r>
      <w:proofErr w:type="spellStart"/>
      <w:r w:rsidR="00DC6F68">
        <w:rPr>
          <w:i/>
        </w:rPr>
        <w:t>RMŽaND</w:t>
      </w:r>
      <w:proofErr w:type="spellEnd"/>
      <w:r w:rsidR="00DC6F68">
        <w:rPr>
          <w:i/>
        </w:rPr>
        <w:t xml:space="preserve"> </w:t>
      </w:r>
      <w:r w:rsidR="00544503" w:rsidRPr="00544503">
        <w:rPr>
          <w:i/>
        </w:rPr>
        <w:t>.</w:t>
      </w:r>
      <w:r w:rsidR="00DC6F68">
        <w:rPr>
          <w:i/>
        </w:rPr>
        <w:t xml:space="preserve"> Iné údaje uvedie žiadateľ v prílohe </w:t>
      </w:r>
      <w:proofErr w:type="spellStart"/>
      <w:r w:rsidR="00DC6F68">
        <w:rPr>
          <w:i/>
        </w:rPr>
        <w:t>ŽoNFP</w:t>
      </w:r>
      <w:proofErr w:type="spellEnd"/>
      <w:r w:rsidR="00DC6F68">
        <w:rPr>
          <w:i/>
        </w:rPr>
        <w:t xml:space="preserve"> – Opis projektu. Zároveň boli po schválení metodikou CKO doplnené definície výpočtu ročných a kumulatívnych hodnôt ukazovateľov. </w:t>
      </w:r>
    </w:p>
    <w:p w:rsidR="00DB42B1" w:rsidRPr="00663983" w:rsidRDefault="00DB42B1" w:rsidP="00DB42B1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DB42B1" w:rsidRPr="00DC6F68" w:rsidRDefault="00DB42B1" w:rsidP="00DB42B1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 w:rsidR="009702B3">
        <w:rPr>
          <w:rFonts w:asciiTheme="minorHAnsi" w:hAnsiTheme="minorHAnsi"/>
          <w:b/>
          <w:bCs/>
          <w:sz w:val="22"/>
          <w:szCs w:val="22"/>
        </w:rPr>
        <w:t>4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DC6F68" w:rsidRDefault="00DC6F68" w:rsidP="00DC6F68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DB42B1" w:rsidRPr="00190281" w:rsidRDefault="00DB42B1" w:rsidP="00DB42B1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t xml:space="preserve">Opis projektu </w:t>
      </w:r>
      <w:r w:rsidR="00DC6F68">
        <w:rPr>
          <w:rFonts w:asciiTheme="minorHAnsi" w:hAnsiTheme="minorHAnsi"/>
          <w:color w:val="000000"/>
        </w:rPr>
        <w:t>bol doplnený o bod 2. Iné údaje</w:t>
      </w:r>
      <w:r w:rsidRPr="00190281">
        <w:rPr>
          <w:rFonts w:asciiTheme="minorHAnsi" w:hAnsiTheme="minorHAnsi"/>
          <w:color w:val="000000"/>
        </w:rPr>
        <w:t>.</w:t>
      </w:r>
    </w:p>
    <w:p w:rsidR="00DB42B1" w:rsidRPr="00741FA1" w:rsidRDefault="00DB42B1" w:rsidP="00DB42B1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DB42B1" w:rsidRPr="00C9420F" w:rsidRDefault="00DB42B1" w:rsidP="003C6168">
      <w:pPr>
        <w:pStyle w:val="Odsekzoznamu1"/>
        <w:keepNext/>
        <w:spacing w:before="240" w:after="240" w:line="276" w:lineRule="auto"/>
        <w:ind w:left="0"/>
        <w:jc w:val="both"/>
        <w:rPr>
          <w:rFonts w:asciiTheme="minorHAnsi" w:hAnsiTheme="minorHAnsi"/>
          <w:i/>
          <w:color w:val="000000"/>
          <w:sz w:val="22"/>
          <w:szCs w:val="22"/>
          <w:lang w:eastAsia="en-US"/>
        </w:rPr>
      </w:pP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Z dôvodu, že v rámci formulára </w:t>
      </w:r>
      <w:proofErr w:type="spellStart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nie je možné </w:t>
      </w:r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>iné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údaje technicky zadať</w:t>
      </w:r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do </w:t>
      </w:r>
      <w:proofErr w:type="spellStart"/>
      <w:r w:rsidR="0064560E">
        <w:rPr>
          <w:rFonts w:asciiTheme="minorHAnsi" w:hAnsiTheme="minorHAnsi"/>
          <w:i/>
          <w:color w:val="000000"/>
          <w:sz w:val="22"/>
          <w:szCs w:val="22"/>
          <w:lang w:eastAsia="en-US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, aktualizoval RO OP TP Prílohu č. </w:t>
      </w:r>
      <w:r w:rsidR="009702B3">
        <w:rPr>
          <w:rFonts w:asciiTheme="minorHAnsi" w:hAnsiTheme="minorHAnsi"/>
          <w:i/>
          <w:color w:val="000000"/>
          <w:sz w:val="22"/>
          <w:szCs w:val="22"/>
          <w:lang w:eastAsia="en-US"/>
        </w:rPr>
        <w:t>4</w:t>
      </w:r>
      <w:r w:rsidRPr="00C9420F">
        <w:rPr>
          <w:rFonts w:asciiTheme="minorHAnsi" w:hAnsiTheme="minorHAnsi"/>
          <w:i/>
          <w:color w:val="000000"/>
          <w:sz w:val="22"/>
          <w:szCs w:val="22"/>
          <w:lang w:eastAsia="en-US"/>
        </w:rPr>
        <w:t xml:space="preserve">  vyzvania „Vzory povinnej prílohy k žiadosti o NFP - Opis projektu“, v rámci ktorej vypĺňa žiadateľ v bode 2. iné údaje.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44503" w:rsidRPr="000C497E" w:rsidRDefault="00544503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DB42B1">
        <w:rPr>
          <w:b/>
          <w:color w:val="000000"/>
        </w:rPr>
        <w:t>2</w:t>
      </w:r>
      <w:r w:rsidR="008441B7">
        <w:rPr>
          <w:b/>
          <w:color w:val="000000"/>
        </w:rPr>
        <w:t>8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DB42B1">
        <w:rPr>
          <w:b/>
          <w:color w:val="000000"/>
        </w:rPr>
        <w:t>4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 w:rsidR="00DB42B1">
        <w:rPr>
          <w:b/>
          <w:color w:val="000000"/>
        </w:rPr>
        <w:t>7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2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DC6F68" w:rsidRDefault="00261637" w:rsidP="00261637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 w:rsidR="00DC6F68">
        <w:rPr>
          <w:rFonts w:asciiTheme="minorHAnsi" w:hAnsiTheme="minorHAnsi"/>
          <w:color w:val="000000"/>
          <w:u w:val="single"/>
        </w:rPr>
        <w:t>y:</w:t>
      </w:r>
    </w:p>
    <w:p w:rsidR="00261637" w:rsidRPr="001610D6" w:rsidRDefault="00DC6F68" w:rsidP="001610D6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 w:rsidR="009702B3">
        <w:rPr>
          <w:rFonts w:asciiTheme="minorHAnsi" w:hAnsiTheme="minorHAnsi"/>
          <w:color w:val="000000"/>
        </w:rPr>
        <w:t xml:space="preserve">. </w:t>
      </w:r>
      <w:r w:rsidR="00261637" w:rsidRPr="001610D6">
        <w:rPr>
          <w:rFonts w:asciiTheme="minorHAnsi" w:hAnsiTheme="minorHAnsi"/>
          <w:color w:val="000000"/>
        </w:rPr>
        <w:t xml:space="preserve"> </w:t>
      </w:r>
      <w:r w:rsidR="00261637" w:rsidRPr="001610D6">
        <w:rPr>
          <w:rFonts w:asciiTheme="minorHAnsi" w:hAnsiTheme="minorHAnsi"/>
          <w:bCs/>
          <w:iCs/>
        </w:rPr>
        <w:t>Zoznam povinných merateľných ukazovateľov</w:t>
      </w:r>
    </w:p>
    <w:p w:rsidR="00DC6F68" w:rsidRPr="009702B3" w:rsidRDefault="009702B3" w:rsidP="001610D6">
      <w:pPr>
        <w:spacing w:after="0"/>
        <w:jc w:val="both"/>
        <w:rPr>
          <w:rFonts w:asciiTheme="minorHAnsi" w:hAnsiTheme="minorHAnsi"/>
          <w:color w:val="000000"/>
        </w:rPr>
      </w:pPr>
      <w:r w:rsidRPr="009702B3">
        <w:rPr>
          <w:rFonts w:asciiTheme="minorHAnsi" w:hAnsiTheme="minorHAnsi"/>
          <w:color w:val="000000"/>
        </w:rPr>
        <w:t xml:space="preserve">4. </w:t>
      </w:r>
      <w:r w:rsidR="00982DF6" w:rsidRPr="009702B3">
        <w:rPr>
          <w:rFonts w:asciiTheme="minorHAnsi" w:hAnsiTheme="minorHAnsi"/>
          <w:color w:val="000000"/>
        </w:rPr>
        <w:t xml:space="preserve"> </w:t>
      </w:r>
      <w:r w:rsidR="0064560E" w:rsidRPr="009702B3">
        <w:rPr>
          <w:rFonts w:asciiTheme="minorHAnsi" w:hAnsiTheme="minorHAnsi"/>
          <w:bCs/>
          <w:iCs/>
        </w:rPr>
        <w:t xml:space="preserve">Vzory povinnej prílohy k žiadosti o NFP </w:t>
      </w:r>
      <w:r w:rsidR="00DC6F68" w:rsidRPr="009702B3">
        <w:rPr>
          <w:rFonts w:asciiTheme="minorHAnsi" w:hAnsiTheme="minorHAnsi"/>
          <w:bCs/>
          <w:iCs/>
        </w:rPr>
        <w:t xml:space="preserve"> </w:t>
      </w:r>
      <w:r w:rsidR="0071264B" w:rsidRPr="009702B3">
        <w:rPr>
          <w:rFonts w:asciiTheme="minorHAnsi" w:hAnsiTheme="minorHAnsi"/>
          <w:bCs/>
          <w:iCs/>
        </w:rPr>
        <w:t>-</w:t>
      </w:r>
      <w:r w:rsidR="00DC6F68" w:rsidRPr="009702B3">
        <w:rPr>
          <w:rFonts w:asciiTheme="minorHAnsi" w:hAnsiTheme="minorHAnsi"/>
          <w:bCs/>
          <w:iCs/>
        </w:rPr>
        <w:t xml:space="preserve"> Opis projektu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  <w:bookmarkStart w:id="0" w:name="_GoBack"/>
      <w:bookmarkEnd w:id="0"/>
    </w:p>
    <w:sectPr w:rsidR="00454ADA" w:rsidSect="00F4420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1B7">
          <w:rPr>
            <w:noProof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D72F45" w:rsidRDefault="00D72F45" w:rsidP="00D72F4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DB42B1" w:rsidRDefault="00DB42B1" w:rsidP="00DB42B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§ 2, písmeno b) zákona č. 275/2006 Z. z. o informačných systémoch verejnej správy a o zmene a doplnení niektorých zákonov v znení neskorších predpisov.</w:t>
      </w:r>
    </w:p>
  </w:footnote>
  <w:footnote w:id="3">
    <w:p w:rsidR="00DB42B1" w:rsidRDefault="00DB42B1" w:rsidP="00DB42B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892497"/>
    <w:multiLevelType w:val="hybridMultilevel"/>
    <w:tmpl w:val="9732E9D0"/>
    <w:lvl w:ilvl="0" w:tplc="419A2F08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3"/>
  </w:num>
  <w:num w:numId="6">
    <w:abstractNumId w:val="10"/>
  </w:num>
  <w:num w:numId="7">
    <w:abstractNumId w:val="20"/>
  </w:num>
  <w:num w:numId="8">
    <w:abstractNumId w:val="32"/>
  </w:num>
  <w:num w:numId="9">
    <w:abstractNumId w:val="22"/>
  </w:num>
  <w:num w:numId="10">
    <w:abstractNumId w:val="19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4"/>
  </w:num>
  <w:num w:numId="18">
    <w:abstractNumId w:val="30"/>
  </w:num>
  <w:num w:numId="19">
    <w:abstractNumId w:val="8"/>
  </w:num>
  <w:num w:numId="20">
    <w:abstractNumId w:val="26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13"/>
  </w:num>
  <w:num w:numId="26">
    <w:abstractNumId w:val="2"/>
  </w:num>
  <w:num w:numId="27">
    <w:abstractNumId w:val="31"/>
  </w:num>
  <w:num w:numId="28">
    <w:abstractNumId w:val="1"/>
  </w:num>
  <w:num w:numId="29">
    <w:abstractNumId w:val="16"/>
  </w:num>
  <w:num w:numId="30">
    <w:abstractNumId w:val="11"/>
  </w:num>
  <w:num w:numId="31">
    <w:abstractNumId w:val="18"/>
  </w:num>
  <w:num w:numId="32">
    <w:abstractNumId w:val="28"/>
  </w:num>
  <w:num w:numId="33">
    <w:abstractNumId w:val="2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0CB0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26FDE"/>
    <w:rsid w:val="001341B1"/>
    <w:rsid w:val="00144148"/>
    <w:rsid w:val="001508E8"/>
    <w:rsid w:val="001610D6"/>
    <w:rsid w:val="0016406A"/>
    <w:rsid w:val="00166324"/>
    <w:rsid w:val="001760A1"/>
    <w:rsid w:val="00182A12"/>
    <w:rsid w:val="00190281"/>
    <w:rsid w:val="0019181B"/>
    <w:rsid w:val="001A48D2"/>
    <w:rsid w:val="001A4AA9"/>
    <w:rsid w:val="001B07A5"/>
    <w:rsid w:val="001B1585"/>
    <w:rsid w:val="001B5681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4EE3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C6168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634D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032F8"/>
    <w:rsid w:val="00610812"/>
    <w:rsid w:val="0062456D"/>
    <w:rsid w:val="006322F4"/>
    <w:rsid w:val="00634B7F"/>
    <w:rsid w:val="0064229B"/>
    <w:rsid w:val="0064560E"/>
    <w:rsid w:val="00671AB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1264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441B7"/>
    <w:rsid w:val="00852EB3"/>
    <w:rsid w:val="0086151A"/>
    <w:rsid w:val="008726EB"/>
    <w:rsid w:val="008802B7"/>
    <w:rsid w:val="00896B75"/>
    <w:rsid w:val="008A01C9"/>
    <w:rsid w:val="008A3A69"/>
    <w:rsid w:val="008A448C"/>
    <w:rsid w:val="008B1F86"/>
    <w:rsid w:val="009125E4"/>
    <w:rsid w:val="00930453"/>
    <w:rsid w:val="00942160"/>
    <w:rsid w:val="009446DF"/>
    <w:rsid w:val="009702B3"/>
    <w:rsid w:val="00981E8D"/>
    <w:rsid w:val="00982DF6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9420F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2F45"/>
    <w:rsid w:val="00D77B6A"/>
    <w:rsid w:val="00D80C37"/>
    <w:rsid w:val="00D811DD"/>
    <w:rsid w:val="00D846A6"/>
    <w:rsid w:val="00D95256"/>
    <w:rsid w:val="00DB0E80"/>
    <w:rsid w:val="00DB42B1"/>
    <w:rsid w:val="00DC5798"/>
    <w:rsid w:val="00DC6870"/>
    <w:rsid w:val="00DC6F68"/>
    <w:rsid w:val="00DE11D5"/>
    <w:rsid w:val="00DE151E"/>
    <w:rsid w:val="00DF361F"/>
    <w:rsid w:val="00DF5758"/>
    <w:rsid w:val="00E21B69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62F13"/>
    <w:rsid w:val="00F63124"/>
    <w:rsid w:val="00F70989"/>
    <w:rsid w:val="00F875B0"/>
    <w:rsid w:val="00F97977"/>
    <w:rsid w:val="00FB04BF"/>
    <w:rsid w:val="00FB5F38"/>
    <w:rsid w:val="00FB7FF9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72F45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D72F45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ptp.vlada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ptp.vlada.gov.sk/ine-dokumenty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optp.vlada.gov.sk/dom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TMS2014.sk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8BC0F-EF8A-46B6-9414-7B7E99DB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2016-06-27T12:01:00Z</dcterms:created>
  <dcterms:modified xsi:type="dcterms:W3CDTF">2017-04-26T07:54:00Z</dcterms:modified>
</cp:coreProperties>
</file>