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0C" w:rsidRPr="00A1007F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:rsidR="0051270C" w:rsidRPr="00C36213" w:rsidRDefault="0051270C" w:rsidP="00297D87">
      <w:pPr>
        <w:rPr>
          <w:rFonts w:asciiTheme="minorHAnsi" w:hAnsiTheme="minorHAnsi"/>
          <w:color w:val="365F91"/>
        </w:rPr>
      </w:pPr>
    </w:p>
    <w:p w:rsidR="0051270C" w:rsidRPr="00C36213" w:rsidRDefault="0051270C" w:rsidP="00297D87">
      <w:pPr>
        <w:pStyle w:val="Default"/>
        <w:rPr>
          <w:rFonts w:asciiTheme="minorHAnsi" w:hAnsiTheme="minorHAnsi"/>
          <w:b/>
          <w:bCs/>
          <w:color w:val="365F91"/>
          <w:sz w:val="22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C36213" w:rsidRDefault="0051270C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bookmarkStart w:id="0" w:name="CompanyName1" w:colFirst="0" w:colLast="0"/>
                </w:p>
              </w:tc>
            </w:tr>
            <w:tr w:rsidR="00C36213" w:rsidRPr="00C36213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2014-2020</w:t>
                  </w:r>
                </w:p>
              </w:tc>
            </w:tr>
          </w:tbl>
          <w:p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FA9CC46" wp14:editId="700E6089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:rsidR="0079464A" w:rsidRDefault="0079464A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:rsidR="0079464A" w:rsidRDefault="0079464A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:rsidR="0079464A" w:rsidRDefault="0079464A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kx17GAAAA3AAAAA8AAABkcnMvZG93bnJldi54bWxEj91qwkAUhO8LfYflFLyrG0Vsja4iBdGK&#10;YP3t7SF7mqRmz4bsamKf3hUKXg4z8w0zmjSmEBeqXG5ZQacdgSBOrM45VbDfzV7fQTiPrLGwTAqu&#10;5GAyfn4aYaxtzRu6bH0qAoRdjAoy78tYSpdkZNC1bUkcvB9bGfRBVqnUFdYBbgrZjaK+NJhzWMiw&#10;pI+MktP2bBSU6+/j9Pi2zD//erifH37rlTt9KdV6aaZDEJ4a/wj/txdaQXfQgfuZcATk+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aTHXsYAAADcAAAADwAAAAAAAAAAAAAA&#10;AACfAgAAZHJzL2Rvd25yZXYueG1sUEsFBgAAAAAEAAQA9wAAAJIDAAAAAA==&#10;">
                          <v:imagedata r:id="rId11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UBc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8j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1QFxQAAANwAAAAPAAAAAAAAAAAAAAAAAJgCAABkcnMv&#10;ZG93bnJldi54bWxQSwUGAAAAAAQABAD1AAAAigMAAAAA&#10;" filled="f" stroked="f">
                          <v:textbox>
                            <w:txbxContent>
                              <w:p w:rsidR="0079464A" w:rsidRDefault="0079464A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:rsidR="0079464A" w:rsidRDefault="0079464A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:rsidR="0079464A" w:rsidRDefault="0079464A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0sqvFAAAA3AAAAA8AAABkcnMvZG93bnJldi54bWxEj0FrwkAUhO9C/8PyCl5KszFQaWNWUUFQ&#10;D0VtDh4f2dckNPs2ZNck/vtuoeBxmJlvmGw1mkb01LnasoJZFIMgLqyuuVSQf+1e30E4j6yxsUwK&#10;7uRgtXyaZJhqO/CZ+osvRYCwS1FB5X2bSumKigy6yLbEwfu2nUEfZFdK3eEQ4KaRSRzPpcGaw0KF&#10;LW0rKn4uN6Ogz80p/1wzHvlwu7q3DeXHF1Jq+jyuFyA8jf4R/m/vtYLkYw5/Z8IR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dLKrxQAAANwAAAAPAAAAAAAAAAAAAAAA&#10;AJ8CAABkcnMvZG93bnJldi54bWxQSwUGAAAAAAQABAD3AAAAkQMAAAAA&#10;" fillcolor="#4f81bd [3204]" strokecolor="black [3213]">
                        <v:imagedata r:id="rId12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1" w:name="ReportName1" w:colFirst="0" w:colLast="0"/>
            <w:bookmarkEnd w:id="0"/>
          </w:p>
        </w:tc>
      </w:tr>
      <w:tr w:rsidR="0051270C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2" w:name="Subtitle" w:colFirst="0" w:colLast="0"/>
            <w:bookmarkEnd w:id="1"/>
          </w:p>
        </w:tc>
      </w:tr>
    </w:tbl>
    <w:bookmarkEnd w:id="2"/>
    <w:p w:rsidR="0051270C" w:rsidRPr="00C36213" w:rsidRDefault="00E56978" w:rsidP="00E56978">
      <w:pPr>
        <w:tabs>
          <w:tab w:val="left" w:pos="3660"/>
        </w:tabs>
        <w:rPr>
          <w:rFonts w:asciiTheme="minorHAnsi" w:hAnsiTheme="minorHAnsi"/>
          <w:color w:val="365F91"/>
          <w:szCs w:val="22"/>
        </w:rPr>
        <w:pPrChange w:id="3" w:author="Autor">
          <w:pPr/>
        </w:pPrChange>
      </w:pPr>
      <w:ins w:id="4" w:author="Autor">
        <w:r>
          <w:rPr>
            <w:rFonts w:asciiTheme="minorHAnsi" w:hAnsiTheme="minorHAnsi"/>
            <w:color w:val="365F91"/>
            <w:szCs w:val="22"/>
          </w:rPr>
          <w:tab/>
        </w:r>
      </w:ins>
      <w:bookmarkStart w:id="5" w:name="_GoBack"/>
      <w:bookmarkEnd w:id="5"/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771"/>
      </w:tblGrid>
      <w:tr w:rsidR="00C36213" w:rsidRPr="00C36213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1270C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Úrad vlády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 republiky</w:t>
            </w:r>
          </w:p>
          <w:p w:rsidR="00331723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:rsidR="0051270C" w:rsidRPr="00C36213" w:rsidRDefault="0051270C" w:rsidP="00E56978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del w:id="6" w:author="Autor">
              <w:r w:rsidR="009A32CB" w:rsidDel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4</w:delText>
              </w:r>
            </w:del>
            <w:ins w:id="7" w:author="Autor">
              <w:r w:rsidR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5</w:t>
              </w:r>
            </w:ins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del w:id="8" w:author="Autor">
              <w:r w:rsidR="008B0FD2" w:rsidRPr="003762C9" w:rsidDel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2</w:delText>
              </w:r>
              <w:r w:rsidR="003762C9" w:rsidRPr="00360B89" w:rsidDel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3</w:delText>
              </w:r>
            </w:del>
            <w:ins w:id="9" w:author="Autor">
              <w:r w:rsidR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5</w:t>
              </w:r>
            </w:ins>
            <w:r w:rsidR="00A4271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 </w:t>
            </w:r>
            <w:del w:id="10" w:author="Autor">
              <w:r w:rsidR="008B0FD2" w:rsidRPr="003762C9" w:rsidDel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marca</w:delText>
              </w:r>
              <w:r w:rsidR="00A42712" w:rsidRPr="003762C9" w:rsidDel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 xml:space="preserve"> </w:delText>
              </w:r>
            </w:del>
            <w:ins w:id="11" w:author="Autor">
              <w:r w:rsidR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mája</w:t>
              </w:r>
              <w:r w:rsidR="00E56978" w:rsidRPr="003762C9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 xml:space="preserve"> </w:t>
              </w:r>
            </w:ins>
            <w:del w:id="12" w:author="Autor">
              <w:r w:rsidR="00A42712" w:rsidRPr="003762C9" w:rsidDel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2016</w:delText>
              </w:r>
            </w:del>
            <w:ins w:id="13" w:author="Autor">
              <w:r w:rsidR="00E56978" w:rsidRPr="003762C9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201</w:t>
              </w:r>
              <w:r w:rsidR="00E5697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7</w:t>
              </w:r>
            </w:ins>
          </w:p>
        </w:tc>
      </w:tr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Theme="minorHAnsi" w:hAnsiTheme="minorHAnsi"/>
          <w:color w:val="365F91"/>
        </w:rPr>
        <w:id w:val="1520810965"/>
        <w:docPartObj>
          <w:docPartGallery w:val="Table of Contents"/>
          <w:docPartUnique/>
        </w:docPartObj>
      </w:sdtPr>
      <w:sdtEndPr>
        <w:rPr>
          <w:b w:val="0"/>
          <w:bCs w:val="0"/>
          <w:color w:val="365F91" w:themeColor="accent1" w:themeShade="BF"/>
        </w:rPr>
      </w:sdtEndPr>
      <w:sdtContent>
        <w:p w:rsidR="0071059C" w:rsidRPr="00C36213" w:rsidRDefault="0071059C" w:rsidP="00624B0E">
          <w:pPr>
            <w:pStyle w:val="Hlavikaobsahu"/>
            <w:rPr>
              <w:rFonts w:asciiTheme="minorHAnsi" w:hAnsiTheme="minorHAnsi" w:cs="Times New Roman"/>
              <w:color w:val="365F91"/>
              <w:sz w:val="32"/>
            </w:rPr>
          </w:pPr>
          <w:r w:rsidRPr="00C36213">
            <w:rPr>
              <w:rFonts w:asciiTheme="minorHAnsi" w:hAnsiTheme="minorHAnsi" w:cs="Times New Roman"/>
              <w:color w:val="365F91"/>
              <w:sz w:val="32"/>
            </w:rPr>
            <w:t>Obsah</w:t>
          </w:r>
        </w:p>
        <w:p w:rsidR="00C12CA1" w:rsidRDefault="0071059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C36213">
            <w:rPr>
              <w:rFonts w:asciiTheme="minorHAnsi" w:hAnsiTheme="minorHAnsi"/>
              <w:color w:val="365F91"/>
            </w:rPr>
            <w:fldChar w:fldCharType="begin"/>
          </w:r>
          <w:r w:rsidRPr="00C36213">
            <w:rPr>
              <w:rFonts w:asciiTheme="minorHAnsi" w:hAnsiTheme="minorHAnsi"/>
              <w:color w:val="365F91"/>
            </w:rPr>
            <w:instrText xml:space="preserve"> TOC \o "1-3" \h \z \u </w:instrText>
          </w:r>
          <w:r w:rsidRPr="00C36213">
            <w:rPr>
              <w:rFonts w:asciiTheme="minorHAnsi" w:hAnsiTheme="minorHAnsi"/>
              <w:color w:val="365F91"/>
            </w:rPr>
            <w:fldChar w:fldCharType="separate"/>
          </w:r>
          <w:hyperlink w:anchor="_Toc444689807" w:history="1">
            <w:r w:rsidR="00C12CA1" w:rsidRPr="002353E0">
              <w:rPr>
                <w:rStyle w:val="Hypertextovprepojenie"/>
                <w:b/>
                <w:noProof/>
              </w:rPr>
              <w:t>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Úvod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_Toc444689807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3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08" w:history="1">
            <w:r w:rsidR="00C12CA1" w:rsidRPr="002353E0">
              <w:rPr>
                <w:rStyle w:val="Hypertextovprepojenie"/>
                <w:b/>
                <w:noProof/>
              </w:rPr>
              <w:t>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_Toc444689808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1" w:history="1">
            <w:r w:rsidR="00C12CA1" w:rsidRPr="002353E0">
              <w:rPr>
                <w:rStyle w:val="Hypertextovprepojenie"/>
                <w:b/>
                <w:noProof/>
              </w:rPr>
              <w:t>2.1.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Všeobecné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_Toc444689811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2" w:history="1">
            <w:r w:rsidR="00C12CA1" w:rsidRPr="002353E0">
              <w:rPr>
                <w:rStyle w:val="Hypertextovprepojenie"/>
                <w:b/>
                <w:noProof/>
              </w:rPr>
              <w:t>2.2.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Špecifické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_Toc444689812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6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3" w:history="1">
            <w:r w:rsidR="00C12CA1" w:rsidRPr="002353E0">
              <w:rPr>
                <w:rStyle w:val="Hypertextovprepojenie"/>
                <w:b/>
                <w:noProof/>
              </w:rPr>
              <w:t>3.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_Toc444689813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8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4" w:history="1">
            <w:r w:rsidR="00C12CA1" w:rsidRPr="002353E0">
              <w:rPr>
                <w:rStyle w:val="Hypertextovprepojenie"/>
                <w:b/>
                <w:noProof/>
              </w:rPr>
              <w:t>4.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Kategorizácia oprávnených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_Toc444689814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15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5" w:history="1">
            <w:r w:rsidR="00C12CA1" w:rsidRPr="002353E0">
              <w:rPr>
                <w:rStyle w:val="Hypertextovprepojenie"/>
                <w:b/>
                <w:noProof/>
              </w:rPr>
              <w:t>5.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Najčastejšie sa vyskytujúce neoprávnené výdavky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_Toc444689815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21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E5697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6" w:history="1">
            <w:r w:rsidR="00C12CA1" w:rsidRPr="002353E0">
              <w:rPr>
                <w:rStyle w:val="Hypertextovprepojenie"/>
                <w:b/>
                <w:noProof/>
              </w:rPr>
              <w:t>6.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hospodárnosti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_Toc444689816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22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71059C" w:rsidRPr="00A1007F" w:rsidRDefault="0071059C" w:rsidP="0071059C">
          <w:pPr>
            <w:pStyle w:val="Nadpis1"/>
            <w:rPr>
              <w:rFonts w:asciiTheme="minorHAnsi" w:hAnsiTheme="minorHAnsi"/>
            </w:rPr>
          </w:pPr>
          <w:r w:rsidRPr="00C36213">
            <w:rPr>
              <w:rFonts w:asciiTheme="minorHAnsi" w:hAnsiTheme="minorHAnsi"/>
              <w:color w:val="365F91"/>
            </w:rPr>
            <w:fldChar w:fldCharType="end"/>
          </w:r>
        </w:p>
      </w:sdtContent>
    </w:sdt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br w:type="page"/>
      </w:r>
    </w:p>
    <w:p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4" w:name="_Toc444689807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Úvod</w:t>
      </w:r>
      <w:bookmarkEnd w:id="14"/>
    </w:p>
    <w:p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 xml:space="preserve">Centrálnym koordinačným orgánom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</w:t>
      </w:r>
      <w:r w:rsidR="007D4D76">
        <w:rPr>
          <w:rFonts w:asciiTheme="minorHAnsi" w:hAnsiTheme="minorHAnsi"/>
          <w:i/>
          <w:sz w:val="24"/>
          <w:szCs w:val="24"/>
        </w:rPr>
        <w:br/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r w:rsidR="0012054A" w:rsidRPr="00A1007F">
        <w:rPr>
          <w:rFonts w:asciiTheme="minorHAnsi" w:hAnsiTheme="minorHAnsi"/>
          <w:sz w:val="24"/>
          <w:szCs w:val="24"/>
        </w:rPr>
        <w:t xml:space="preserve"> (),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r w:rsidR="009A32CB">
        <w:rPr>
          <w:rFonts w:asciiTheme="minorHAnsi" w:hAnsiTheme="minorHAnsi"/>
          <w:sz w:val="24"/>
          <w:szCs w:val="24"/>
        </w:rPr>
        <w:t xml:space="preserve"> v platnom znení</w:t>
      </w:r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 (ďalej aj „RO“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 xml:space="preserve">. Príručka popisuje všeobecné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</w:t>
      </w:r>
      <w:r w:rsidR="00DA1BF3" w:rsidRPr="00A1007F">
        <w:rPr>
          <w:rFonts w:asciiTheme="minorHAnsi" w:hAnsiTheme="minorHAnsi"/>
          <w:sz w:val="24"/>
          <w:szCs w:val="24"/>
        </w:rPr>
        <w:t>jú</w:t>
      </w:r>
      <w:r w:rsidRPr="00A1007F">
        <w:rPr>
          <w:rFonts w:asciiTheme="minorHAnsi" w:hAnsiTheme="minorHAnsi"/>
          <w:sz w:val="24"/>
          <w:szCs w:val="24"/>
        </w:rPr>
        <w:t xml:space="preserve"> najčastejšie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del w:id="15" w:author="Autor">
        <w:r w:rsidR="00B67376" w:rsidRPr="007D4D76" w:rsidDel="00D93863">
          <w:rPr>
            <w:rFonts w:asciiTheme="minorHAnsi" w:hAnsiTheme="minorHAnsi"/>
            <w:sz w:val="24"/>
            <w:szCs w:val="24"/>
          </w:rPr>
          <w:delText>http://</w:delText>
        </w:r>
      </w:del>
      <w:ins w:id="16" w:author="Autor">
        <w:r w:rsidR="00D93863">
          <w:rPr>
            <w:rFonts w:asciiTheme="minorHAnsi" w:hAnsiTheme="minorHAnsi"/>
            <w:sz w:val="24"/>
            <w:szCs w:val="24"/>
          </w:rPr>
          <w:fldChar w:fldCharType="begin"/>
        </w:r>
        <w:r w:rsidR="00D93863">
          <w:rPr>
            <w:rFonts w:asciiTheme="minorHAnsi" w:hAnsiTheme="minorHAnsi"/>
            <w:sz w:val="24"/>
            <w:szCs w:val="24"/>
          </w:rPr>
          <w:instrText xml:space="preserve"> HYPERLINK "http://</w:instrText>
        </w:r>
      </w:ins>
      <w:r w:rsidR="00D93863" w:rsidRPr="007D4D76">
        <w:rPr>
          <w:rFonts w:asciiTheme="minorHAnsi" w:hAnsiTheme="minorHAnsi"/>
          <w:sz w:val="24"/>
          <w:szCs w:val="24"/>
        </w:rPr>
        <w:instrText>www.</w:instrText>
      </w:r>
      <w:ins w:id="17" w:author="Autor">
        <w:r w:rsidR="00D93863">
          <w:rPr>
            <w:rFonts w:asciiTheme="minorHAnsi" w:hAnsiTheme="minorHAnsi"/>
            <w:sz w:val="24"/>
            <w:szCs w:val="24"/>
          </w:rPr>
          <w:instrText>optp.</w:instrText>
        </w:r>
      </w:ins>
      <w:r w:rsidR="00D93863" w:rsidRPr="007D4D76">
        <w:rPr>
          <w:rFonts w:asciiTheme="minorHAnsi" w:hAnsiTheme="minorHAnsi"/>
          <w:sz w:val="24"/>
          <w:szCs w:val="24"/>
        </w:rPr>
        <w:instrText>vlada.gov.sk</w:instrText>
      </w:r>
      <w:ins w:id="18" w:author="Autor">
        <w:r w:rsidR="00D93863">
          <w:rPr>
            <w:rFonts w:asciiTheme="minorHAnsi" w:hAnsiTheme="minorHAnsi"/>
            <w:sz w:val="24"/>
            <w:szCs w:val="24"/>
          </w:rPr>
          <w:instrText xml:space="preserve">" </w:instrText>
        </w:r>
        <w:r w:rsidR="00D93863">
          <w:rPr>
            <w:rFonts w:asciiTheme="minorHAnsi" w:hAnsiTheme="minorHAnsi"/>
            <w:sz w:val="24"/>
            <w:szCs w:val="24"/>
          </w:rPr>
          <w:fldChar w:fldCharType="separate"/>
        </w:r>
      </w:ins>
      <w:r w:rsidR="00D93863" w:rsidRPr="00BB6026">
        <w:rPr>
          <w:rStyle w:val="Hypertextovprepojenie"/>
          <w:rFonts w:asciiTheme="minorHAnsi" w:hAnsiTheme="minorHAnsi"/>
          <w:sz w:val="24"/>
          <w:szCs w:val="24"/>
        </w:rPr>
        <w:t>www.</w:t>
      </w:r>
      <w:ins w:id="19" w:author="Autor">
        <w:r w:rsidR="00D93863" w:rsidRPr="00BB6026">
          <w:rPr>
            <w:rStyle w:val="Hypertextovprepojenie"/>
            <w:rFonts w:asciiTheme="minorHAnsi" w:hAnsiTheme="minorHAnsi"/>
            <w:sz w:val="24"/>
            <w:szCs w:val="24"/>
          </w:rPr>
          <w:t>optp.</w:t>
        </w:r>
      </w:ins>
      <w:r w:rsidR="00D93863" w:rsidRPr="00BB6026">
        <w:rPr>
          <w:rStyle w:val="Hypertextovprepojenie"/>
          <w:rFonts w:asciiTheme="minorHAnsi" w:hAnsiTheme="minorHAnsi"/>
          <w:sz w:val="24"/>
          <w:szCs w:val="24"/>
        </w:rPr>
        <w:t>vlada.gov.sk</w:t>
      </w:r>
      <w:ins w:id="20" w:author="Autor">
        <w:r w:rsidR="00D93863">
          <w:rPr>
            <w:rFonts w:asciiTheme="minorHAnsi" w:hAnsiTheme="minorHAnsi"/>
            <w:sz w:val="24"/>
            <w:szCs w:val="24"/>
          </w:rPr>
          <w:fldChar w:fldCharType="end"/>
        </w:r>
        <w:r w:rsidR="00D93863">
          <w:rPr>
            <w:rFonts w:asciiTheme="minorHAnsi" w:hAnsiTheme="minorHAnsi"/>
            <w:sz w:val="24"/>
            <w:szCs w:val="24"/>
          </w:rPr>
          <w:t xml:space="preserve">. </w:t>
        </w:r>
      </w:ins>
      <w:del w:id="21" w:author="Autor">
        <w:r w:rsidR="00B67376" w:rsidRPr="007D4D76" w:rsidDel="00D93863">
          <w:rPr>
            <w:rFonts w:asciiTheme="minorHAnsi" w:hAnsiTheme="minorHAnsi"/>
            <w:sz w:val="24"/>
            <w:szCs w:val="24"/>
          </w:rPr>
          <w:delText>/operacny-program-technicka-pomoc/</w:delText>
        </w:r>
      </w:del>
    </w:p>
    <w:p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2014-2020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2" w:name="_Toc444689808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22"/>
    </w:p>
    <w:p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23" w:name="_Toc423339146"/>
      <w:bookmarkStart w:id="24" w:name="_Toc423339184"/>
      <w:bookmarkStart w:id="25" w:name="_Toc442777284"/>
      <w:bookmarkStart w:id="26" w:name="_Toc444689809"/>
      <w:bookmarkStart w:id="27" w:name="_Toc394653334"/>
      <w:bookmarkEnd w:id="23"/>
      <w:bookmarkEnd w:id="24"/>
      <w:bookmarkEnd w:id="25"/>
      <w:bookmarkEnd w:id="26"/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28" w:name="_Toc423339147"/>
      <w:bookmarkStart w:id="29" w:name="_Toc423339185"/>
      <w:bookmarkStart w:id="30" w:name="_Toc442777285"/>
      <w:bookmarkStart w:id="31" w:name="_Toc444689810"/>
      <w:bookmarkEnd w:id="28"/>
      <w:bookmarkEnd w:id="29"/>
      <w:bookmarkEnd w:id="30"/>
      <w:bookmarkEnd w:id="31"/>
    </w:p>
    <w:p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32" w:name="_Toc444689811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27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32"/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„ŽoNFP“)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poskytovateľom je tá istá osoba;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riadneho finančného hospodárenia podľa čl. 30 nariadenia </w:t>
      </w:r>
      <w:r w:rsidR="00D81974" w:rsidRPr="00A1007F">
        <w:rPr>
          <w:rFonts w:asciiTheme="minorHAnsi" w:hAnsiTheme="minorHAnsi"/>
          <w:sz w:val="24"/>
          <w:szCs w:val="24"/>
        </w:rPr>
        <w:t>966/2012</w:t>
      </w:r>
      <w:r w:rsidR="00D819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1"/>
      </w:r>
      <w:r w:rsidR="00D81974" w:rsidRPr="00A1007F">
        <w:rPr>
          <w:rFonts w:asciiTheme="minorHAnsi" w:hAnsiTheme="minorHAnsi"/>
          <w:sz w:val="24"/>
          <w:szCs w:val="24"/>
        </w:rPr>
        <w:t>;</w:t>
      </w:r>
    </w:p>
    <w:p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r w:rsidR="00306C73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lastRenderedPageBreak/>
        <w:t xml:space="preserve">Pravidlá oprávnenosti v súvislosti s preddavkovými platbami  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 sa používa aj pojem „zálohová faktúra alebo preddavková faktúra. Preddavková platba sa vzťahuje na obchodné vzťahy medzi prijímateľom a dodávateľom, pričom samotný systém platieb na úrovni RO – prijímateľ, t.j. predfinancovanie, zálohové platby, refundácia týmto nie je dotknutý a  preddavkové platby je možné využiť v rámci každého systému financovania. Preddavkovou platbou sa nefinancujú podporné aktivity projektu.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 je potrebné dodržať nasledujúce pravidlá: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Úhrada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Využitie preddavkových platieb musí byť v súlade s podmienkami verejného obstarávania a rovnako musí byť v súlade s podmienkami zmluvy uzavretej medzi prijímateľom a dodávateľom a bežnou obchodnou praxou</w:t>
      </w:r>
      <w:r w:rsidRPr="00A42712">
        <w:rPr>
          <w:rStyle w:val="Odkaznapoznmkupodiarou"/>
        </w:rPr>
        <w:footnoteReference w:id="2"/>
      </w:r>
      <w:r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Dodávateľ, ktorý je platiteľ DPH, je na základe prijatého preddavku, povinný vystaviť prijímateľovi faktúru najneskôr do 15 kalendárnych dní od prijatia preddavku a následne vystaviť zúčtovaciu faktúru pri reálnom dodaní tovaru/služieb/stavebných prác. Dodávateľ, ktorý nie je platiteľ DPH je povinný vystaviť zúčtovaciu faktúru pri reálnom dodaní tovaru/služieb/stavebných prác.;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Pr="00A42712">
        <w:rPr>
          <w:rStyle w:val="Odkaznapoznmkupodiarou"/>
        </w:rPr>
        <w:footnoteReference w:id="3"/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Overenie dodania predmetu plnenia zabezpečí RO v rámci výkonu kontroly projektu v súlade s kapitolou 3.3.6.1.2 Predmet kontroly projektu a kapitolou 3.3.6.2.1Osobitné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Výdavok spĺňa všetky ostatné podmienky oprávnenosti výdavkov a zmluvy o poskytnutí NFP;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RO v prípade povolenia možnosti využitia preddavkových platieb na úrovni OP definuje aj maximálny limit pre výšku preddavkovej platby, ktorý môže byť rozdielny v závislosti od </w:t>
      </w:r>
      <w:r w:rsidRPr="009107F6">
        <w:rPr>
          <w:rFonts w:asciiTheme="minorHAnsi" w:hAnsiTheme="minorHAnsi"/>
          <w:sz w:val="24"/>
          <w:szCs w:val="24"/>
        </w:rPr>
        <w:lastRenderedPageBreak/>
        <w:t>predmetu plnenia a ďalších špecifík v rámci jednotlivých OP, a prípadné ďalšie pravidlá pre overenie plnenia v rámci využitia preddavkových platieb, pri dodržaní podmienok stanovených 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preplatok vzniknutý zo zúčtovania preddavkovej platby je prijímateľ povinný vrátiť RO najneskôr spolu s predložením doplňujúcich údajov k preukázaniu dodania predmetu plnenia. Vysporiadanie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nedoplatok vzniknutý zo zúčtovania preddavkovej platby posudzuje RO z hľadiska splnenia podmienok oprávnenosti výdavkov a na základe daného posúdenia rozhodne o jeho oprávnenosti alebo neoprávnenosti. V súvislosti so zahrnutím výdavkov vzniknutých na základe preddavkovej platby do súhrnnej žiadosti o platbu zasielanej na CO, sú RO a PJ povinní postupovať v súlade s usmernením certifikačného orgánu (ak CO usmernenie k postupu podľa tohto odseku poskytne).</w:t>
      </w:r>
    </w:p>
    <w:p w:rsidR="001532B1" w:rsidRPr="00A1007F" w:rsidRDefault="001532B1" w:rsidP="009107F6">
      <w:pPr>
        <w:tabs>
          <w:tab w:val="left" w:pos="426"/>
        </w:tabs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:rsidR="00630CD8" w:rsidRPr="009107F6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9107F6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ŽoNFP za podmienky, že </w:t>
      </w:r>
      <w:r w:rsidRPr="009107F6">
        <w:rPr>
          <w:rFonts w:asciiTheme="minorHAnsi" w:hAnsiTheme="minorHAnsi"/>
          <w:bCs/>
          <w:sz w:val="24"/>
          <w:szCs w:val="24"/>
        </w:rPr>
        <w:t>projekt v rámci ktorého výdavky vznikajú, nesmie byť fyzicky ukončený (nemôžu byť ukončené všetky hlavné aktivity projektu) pred predložením ŽoNFP poskytovateľovi bez ohľadu na to, či prijímateľ uhradil všetky súvisiace platby;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v prípade zmeny a doplnenia OP sú výdavky, ktoré sa stanú oprávnenými z dôvodu zmeny a doplnenia OP,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V prípade projektov týkajúcich sa </w:t>
      </w:r>
      <w:r w:rsidR="00B14400"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technickej pomoci a </w:t>
      </w: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>propagačných aktivít</w:t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 môžu výdavky vzniknúť mimo EÚ za predpokladu, že projekt je v prospech oblasti daného OP a povinnosti orgánov zodpovedných za OP súvisiace s riadením, kontrolou a auditom týkajúce sa projektu sú dodržané orgánmi zodpovednými za OP, v rámci ktorého je na daný projekt poskytnutá podpora, alebo uzatvoria dohody s orgánmi v oblasti, v ktorej sa projekt vykonáva. 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nadväznosti na funkcionality ITMS 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„pro rata“.</w:t>
      </w:r>
    </w:p>
    <w:p w:rsidR="00630CD8" w:rsidRPr="00A1007F" w:rsidRDefault="00630CD8" w:rsidP="004E5298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33" w:name="_Toc444689812"/>
      <w:r w:rsidRPr="00C36213">
        <w:rPr>
          <w:rFonts w:asciiTheme="minorHAnsi" w:hAnsiTheme="minorHAnsi"/>
          <w:b/>
          <w:color w:val="365F91"/>
          <w:sz w:val="28"/>
        </w:rPr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33"/>
    </w:p>
    <w:p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Z.z.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Pr="00A1007F">
        <w:rPr>
          <w:rStyle w:val="Odkaznapoznmkupodiarou"/>
          <w:rFonts w:asciiTheme="minorHAnsi" w:hAnsiTheme="minorHAnsi"/>
        </w:rPr>
        <w:t>.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 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r w:rsidR="0087457B" w:rsidRPr="00A1007F">
        <w:rPr>
          <w:rFonts w:asciiTheme="minorHAnsi" w:hAnsiTheme="minorHAnsi"/>
          <w:sz w:val="24"/>
          <w:szCs w:val="24"/>
        </w:rPr>
        <w:t>.</w:t>
      </w:r>
    </w:p>
    <w:p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r w:rsidR="009A32CB">
        <w:rPr>
          <w:rFonts w:asciiTheme="minorHAnsi" w:hAnsiTheme="minorHAnsi"/>
          <w:b/>
          <w:sz w:val="24"/>
          <w:szCs w:val="24"/>
        </w:rPr>
        <w:t>finančnej</w:t>
      </w:r>
      <w:r w:rsidR="009A32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r w:rsidR="009A32CB">
        <w:rPr>
          <w:rFonts w:asciiTheme="minorHAnsi" w:hAnsiTheme="minorHAnsi"/>
          <w:b/>
          <w:sz w:val="24"/>
          <w:szCs w:val="24"/>
        </w:rPr>
        <w:t>F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r w:rsidR="009A32CB">
        <w:rPr>
          <w:rFonts w:asciiTheme="minorHAnsi" w:hAnsiTheme="minorHAnsi"/>
          <w:sz w:val="24"/>
          <w:szCs w:val="24"/>
        </w:rPr>
        <w:t>F</w:t>
      </w:r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6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34" w:name="_Toc444689813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34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</w:t>
      </w:r>
      <w:ins w:id="35" w:author="Autor">
        <w:r w:rsidR="00D93863" w:rsidRPr="007A32B0">
          <w:rPr>
            <w:rFonts w:asciiTheme="minorHAnsi" w:hAnsiTheme="minorHAnsi"/>
            <w:rPrChange w:id="36" w:author="Autor">
              <w:rPr/>
            </w:rPrChange>
          </w:rPr>
          <w:t>kúpna cena nakupovaného dlhodobého hmotného a nehmotného majetku</w:t>
        </w:r>
        <w:r w:rsidR="00D93863">
          <w:rPr>
            <w:rStyle w:val="Odkaznapoznmkupodiarou"/>
          </w:rPr>
          <w:footnoteReference w:id="7"/>
        </w:r>
      </w:ins>
      <w:del w:id="39" w:author="Autor">
        <w:r w:rsidRPr="00A1007F" w:rsidDel="00D93863">
          <w:rPr>
            <w:rFonts w:asciiTheme="minorHAnsi" w:hAnsiTheme="minorHAnsi"/>
          </w:rPr>
          <w:delText>hmotný a nehmotný majetok</w:delText>
        </w:r>
      </w:del>
      <w:r w:rsidRPr="00A1007F">
        <w:rPr>
          <w:rFonts w:asciiTheme="minorHAnsi" w:hAnsiTheme="minorHAnsi"/>
        </w:rPr>
        <w:t xml:space="preserve">. V prípade, ak prijímateľ využíva nadobudnutý majetok (napr. zariadenie, vybavenie) len pre účely projektu, uplatní si výdavky spojené s ich obstaraním v celkovej výške. Kúpený majetok </w:t>
      </w:r>
      <w:r w:rsidR="00312A59">
        <w:rPr>
          <w:rFonts w:asciiTheme="minorHAnsi" w:hAnsiTheme="minorHAnsi"/>
        </w:rPr>
        <w:t>je</w:t>
      </w:r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8"/>
      </w:r>
      <w:r w:rsidR="002A6D6F" w:rsidRPr="00A1007F">
        <w:rPr>
          <w:rFonts w:asciiTheme="minorHAnsi" w:hAnsiTheme="minorHAnsi"/>
        </w:rPr>
        <w:t>.</w:t>
      </w:r>
    </w:p>
    <w:p w:rsidR="0019398E" w:rsidRPr="00A1007F" w:rsidRDefault="004D08FC" w:rsidP="0035138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r w:rsidR="00285E08" w:rsidRPr="00A1007F">
        <w:rPr>
          <w:rFonts w:asciiTheme="minorHAnsi" w:hAnsiTheme="minorHAnsi"/>
        </w:rPr>
        <w:t>. Prijímateľ v rámci dokumentácie k ŽoP predloží spôsob výpočtu oprávnenej výšky jednotlivých výdavkov.</w:t>
      </w:r>
      <w:r w:rsidRPr="00A1007F">
        <w:rPr>
          <w:rFonts w:asciiTheme="minorHAnsi" w:hAnsiTheme="minorHAnsi"/>
        </w:rPr>
        <w:t xml:space="preserve"> </w:t>
      </w:r>
    </w:p>
    <w:p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B6EAA" w:rsidRDefault="000B6EAA" w:rsidP="00D75263">
      <w:pPr>
        <w:pStyle w:val="Zkladntext"/>
        <w:spacing w:line="240" w:lineRule="auto"/>
        <w:jc w:val="both"/>
        <w:rPr>
          <w:ins w:id="40" w:author="Autor"/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Základným oprávneným výdavkom v oblasti osobných výdavkov je </w:t>
      </w:r>
      <w:ins w:id="41" w:author="Autor">
        <w:r w:rsidR="00D93863" w:rsidRPr="007A32B0">
          <w:rPr>
            <w:rFonts w:asciiTheme="minorHAnsi" w:hAnsiTheme="minorHAnsi"/>
            <w:sz w:val="24"/>
            <w:szCs w:val="24"/>
            <w:rPrChange w:id="42" w:author="Autor">
              <w:rPr>
                <w:szCs w:val="22"/>
              </w:rPr>
            </w:rPrChange>
          </w:rPr>
          <w:t xml:space="preserve">celková </w:t>
        </w:r>
      </w:ins>
      <w:r w:rsidRPr="00A1007F">
        <w:rPr>
          <w:rFonts w:asciiTheme="minorHAnsi" w:hAnsiTheme="minorHAnsi"/>
          <w:sz w:val="24"/>
          <w:szCs w:val="24"/>
        </w:rPr>
        <w:t xml:space="preserve">cena práce </w:t>
      </w:r>
      <w:ins w:id="43" w:author="Autor">
        <w:r w:rsidR="007A32B0" w:rsidRPr="007A32B0">
          <w:rPr>
            <w:rFonts w:asciiTheme="minorHAnsi" w:hAnsiTheme="minorHAnsi"/>
            <w:sz w:val="24"/>
            <w:szCs w:val="24"/>
            <w:rPrChange w:id="44" w:author="Autor">
              <w:rPr>
                <w:szCs w:val="22"/>
              </w:rPr>
            </w:rPrChange>
          </w:rPr>
          <w:t>(§ 130 ods. 5 zákonníka práce)</w:t>
        </w:r>
      </w:ins>
      <w:del w:id="45" w:author="Autor">
        <w:r w:rsidRPr="00A1007F" w:rsidDel="007A32B0">
          <w:rPr>
            <w:rFonts w:asciiTheme="minorHAnsi" w:hAnsiTheme="minorHAnsi"/>
            <w:sz w:val="24"/>
            <w:szCs w:val="24"/>
          </w:rPr>
          <w:delText>(hrubá mzda, resp. odmena za vykonanú prácu a </w:delText>
        </w:r>
        <w:r w:rsidR="00D75263" w:rsidRPr="00A1007F" w:rsidDel="007A32B0">
          <w:rPr>
            <w:rFonts w:asciiTheme="minorHAnsi" w:hAnsiTheme="minorHAnsi"/>
            <w:sz w:val="24"/>
            <w:szCs w:val="24"/>
          </w:rPr>
          <w:delText>zákonné odvody zamestnávateľa)</w:delText>
        </w:r>
      </w:del>
      <w:r w:rsidR="00D75263" w:rsidRPr="00A1007F">
        <w:rPr>
          <w:rFonts w:asciiTheme="minorHAnsi" w:hAnsiTheme="minorHAnsi"/>
          <w:sz w:val="24"/>
          <w:szCs w:val="24"/>
        </w:rPr>
        <w:t>.</w:t>
      </w:r>
    </w:p>
    <w:p w:rsidR="007A32B0" w:rsidRPr="00A1007F" w:rsidRDefault="007A32B0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  <w:pPrChange w:id="46" w:author="Autor">
          <w:pPr>
            <w:pStyle w:val="Zkladntext"/>
            <w:spacing w:line="240" w:lineRule="auto"/>
            <w:jc w:val="both"/>
          </w:pPr>
        </w:pPrChange>
      </w:pPr>
      <w:ins w:id="47" w:author="Autor">
        <w:r w:rsidRPr="007A32B0">
          <w:rPr>
            <w:rFonts w:asciiTheme="minorHAnsi" w:hAnsiTheme="minorHAnsi"/>
            <w:sz w:val="24"/>
            <w:szCs w:val="24"/>
            <w:rPrChange w:id="48" w:author="Autor">
              <w:rPr>
                <w:szCs w:val="22"/>
              </w:rPr>
            </w:rPrChange>
          </w:rPr>
          <w:t>V prípade osobných výdavkov je rešpektované odmeňovanie jednotlivých pracovných pozícií s ohľadom na predchádzajúcu mzdovú politiku zamestnávateľa, t.j. nie je možné akceptovať navýšenie mzdy, resp. odmeny za vykonanú prácu iba z dôvodu zapojenia do projektu financovaného z prostriedkov EŠIF (napr. rozdielne sadzby odmeňovania za práce vykonávané mimo aktivít projektu a za práce vykonávané na aktivitách projektu; rozdielne hodinové sadzby v prípade viacerých projektov tej istej funkcie - projektový manažér - u jednej osoby; neopodstatnené rozdielne hodinové sadzby pri odbornom personáli). Takéto navýšenie bude mať za následok vznik neoprávnených výdavkov v časti presahujúcej výšku mzdy, resp. odmeny rovnakej práce vykonávanej mimo projektu.</w:t>
        </w:r>
      </w:ins>
    </w:p>
    <w:p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 xml:space="preserve">povinný preukázať, že zamestnanec, ktorého mzdové výdavky sú predmetom financovania z EŠIF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9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Zamestnanci prijímateľa preukazujú svoje zapojenie do projektu </w:t>
      </w:r>
      <w:r w:rsidRPr="00A1007F">
        <w:rPr>
          <w:rFonts w:asciiTheme="minorHAnsi" w:hAnsiTheme="minorHAnsi"/>
          <w:b/>
          <w:sz w:val="24"/>
          <w:szCs w:val="24"/>
        </w:rPr>
        <w:t>pracovným výkazom</w:t>
      </w:r>
      <w:r w:rsidRPr="00A1007F">
        <w:rPr>
          <w:rFonts w:asciiTheme="minorHAnsi" w:hAnsiTheme="minorHAnsi"/>
          <w:sz w:val="24"/>
          <w:szCs w:val="24"/>
        </w:rPr>
        <w:t>. Činnosti a objem práce v pracovnom výkaze musia zodpovedať skutočne vykonanej práci v rámci vykazovaného obdobia. V prípade zamestnávania osôb pre účely realizácie projektu rozlišujeme dve alternatívy:</w:t>
      </w:r>
    </w:p>
    <w:p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na plný pracovný úväzok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0"/>
      </w:r>
      <w:r w:rsidRPr="00A1007F">
        <w:rPr>
          <w:rFonts w:asciiTheme="minorHAnsi" w:hAnsiTheme="minorHAnsi"/>
          <w:sz w:val="24"/>
          <w:szCs w:val="24"/>
        </w:rPr>
        <w:t xml:space="preserve"> (t.j.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zamestnanec vykonáva počas celej pracovnej doby (resp. počas celého pracovného času) činnosti týkajúce sa výlučne aktivít na projekte a žiadne iné aktivity mimo projektu. V tomto prípade sú oprávnené výdavky za </w:t>
      </w:r>
      <w:del w:id="49" w:author="Autor">
        <w:r w:rsidRPr="00A1007F" w:rsidDel="007A32B0">
          <w:rPr>
            <w:rFonts w:asciiTheme="minorHAnsi" w:hAnsiTheme="minorHAnsi"/>
            <w:sz w:val="24"/>
            <w:szCs w:val="24"/>
          </w:rPr>
          <w:delText>všetky zložky mzdy vrátane príplatkov</w:delText>
        </w:r>
        <w:r w:rsidRPr="00A1007F" w:rsidDel="007A32B0">
          <w:rPr>
            <w:rStyle w:val="Odkaznapoznmkupodiarou"/>
            <w:rFonts w:asciiTheme="minorHAnsi" w:hAnsiTheme="minorHAnsi"/>
            <w:sz w:val="24"/>
            <w:szCs w:val="24"/>
          </w:rPr>
          <w:footnoteReference w:id="11"/>
        </w:r>
        <w:r w:rsidRPr="00A1007F" w:rsidDel="007A32B0">
          <w:rPr>
            <w:rFonts w:asciiTheme="minorHAnsi" w:hAnsiTheme="minorHAnsi"/>
            <w:sz w:val="24"/>
            <w:szCs w:val="24"/>
          </w:rPr>
          <w:delText>, resp. odmeny na základe dohôd o prácach vykonávaných mimo pracovného pomeru a náhrady mzdy v zmysle platnej legislatívy</w:delText>
        </w:r>
      </w:del>
      <w:ins w:id="52" w:author="Autor">
        <w:r w:rsidR="007A32B0">
          <w:rPr>
            <w:rFonts w:asciiTheme="minorHAnsi" w:hAnsiTheme="minorHAnsi"/>
            <w:sz w:val="24"/>
            <w:szCs w:val="24"/>
          </w:rPr>
          <w:t>celkovú cenu práce</w:t>
        </w:r>
      </w:ins>
      <w:r w:rsidRPr="00A1007F">
        <w:rPr>
          <w:rFonts w:asciiTheme="minorHAnsi" w:hAnsiTheme="minorHAnsi"/>
          <w:sz w:val="24"/>
          <w:szCs w:val="24"/>
        </w:rPr>
        <w:t>,</w:t>
      </w:r>
      <w:del w:id="53" w:author="Autor">
        <w:r w:rsidRPr="00A1007F" w:rsidDel="007A32B0">
          <w:rPr>
            <w:rFonts w:asciiTheme="minorHAnsi" w:hAnsiTheme="minorHAnsi"/>
            <w:sz w:val="24"/>
            <w:szCs w:val="24"/>
          </w:rPr>
          <w:delText xml:space="preserve"> ako aj povinné odvody za zamestnávateľa</w:delText>
        </w:r>
      </w:del>
      <w:r w:rsidRPr="00A1007F">
        <w:rPr>
          <w:rFonts w:asciiTheme="minorHAnsi" w:hAnsiTheme="minorHAnsi"/>
          <w:sz w:val="24"/>
          <w:szCs w:val="24"/>
        </w:rPr>
        <w:t xml:space="preserve">; </w:t>
      </w:r>
    </w:p>
    <w:p w:rsidR="000B6EAA" w:rsidRPr="00A1007F" w:rsidRDefault="000B6EAA" w:rsidP="008D327E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. V tomto prípade sú oprávnené výdavky za </w:t>
      </w:r>
      <w:del w:id="54" w:author="Autor">
        <w:r w:rsidRPr="00A1007F" w:rsidDel="007A32B0">
          <w:rPr>
            <w:rFonts w:asciiTheme="minorHAnsi" w:hAnsiTheme="minorHAnsi"/>
            <w:sz w:val="24"/>
            <w:szCs w:val="24"/>
          </w:rPr>
          <w:delText>všetky zložky mzdy vrátane príplatkov</w:delText>
        </w:r>
        <w:r w:rsidRPr="00A1007F" w:rsidDel="007A32B0">
          <w:rPr>
            <w:rStyle w:val="Odkaznapoznmkupodiarou"/>
            <w:rFonts w:asciiTheme="minorHAnsi" w:hAnsiTheme="minorHAnsi"/>
            <w:sz w:val="24"/>
            <w:szCs w:val="24"/>
          </w:rPr>
          <w:footnoteReference w:id="12"/>
        </w:r>
        <w:r w:rsidRPr="00A1007F" w:rsidDel="007A32B0">
          <w:rPr>
            <w:rFonts w:asciiTheme="minorHAnsi" w:hAnsiTheme="minorHAnsi"/>
            <w:sz w:val="24"/>
            <w:szCs w:val="24"/>
          </w:rPr>
          <w:delText>, resp. odmeny na základe dohôd o prácach vykonávaných mimo pracovného pomeru a náhrady mzdy v zmysle platnej legislatívy, ako aj povinné odvody za zamestnávateľa</w:delText>
        </w:r>
      </w:del>
      <w:ins w:id="57" w:author="Autor">
        <w:r w:rsidR="007A32B0">
          <w:rPr>
            <w:rFonts w:asciiTheme="minorHAnsi" w:hAnsiTheme="minorHAnsi"/>
            <w:sz w:val="24"/>
            <w:szCs w:val="24"/>
          </w:rPr>
          <w:t>celkovú cenu práce</w:t>
        </w:r>
      </w:ins>
      <w:r w:rsidRPr="00A1007F">
        <w:rPr>
          <w:rFonts w:asciiTheme="minorHAnsi" w:hAnsiTheme="minorHAnsi"/>
          <w:sz w:val="24"/>
          <w:szCs w:val="24"/>
        </w:rPr>
        <w:t xml:space="preserve"> 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dovolenku prislúcha k obdobiu odpracovanému príslušným zamestnancom na danom projekte, t.j. oprávnená náhrada za dovolenku sa bude 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projekte)</w:t>
      </w:r>
      <w:r w:rsidR="00312A59" w:rsidRPr="00312A59">
        <w:rPr>
          <w:rStyle w:val="Hypertextovprepojenie"/>
        </w:rPr>
        <w:t xml:space="preserve"> </w:t>
      </w:r>
      <w:r w:rsidR="00312A59" w:rsidRPr="00360B89">
        <w:rPr>
          <w:rStyle w:val="Odkaznapoznmkupodiarou"/>
          <w:rFonts w:asciiTheme="minorHAnsi" w:hAnsiTheme="minorHAnsi"/>
        </w:rPr>
        <w:footnoteReference w:id="13"/>
      </w:r>
      <w:r w:rsidR="00312A59" w:rsidRPr="00360B89">
        <w:rPr>
          <w:rFonts w:asciiTheme="minorHAnsi" w:hAnsiTheme="minorHAnsi"/>
        </w:rPr>
        <w:t>.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BB71BC" w:rsidRPr="00A1007F" w:rsidRDefault="00BB71BC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Náhrada mzdy za práceneschopnosť, ošetrovania člena rodiny a návštevu u lekára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je oprávneným výdavkom, ak je zamestnávateľom poskytnutá v súlade s platnou </w:t>
      </w:r>
      <w:r w:rsidRPr="00A1007F">
        <w:rPr>
          <w:rFonts w:asciiTheme="minorHAnsi" w:hAnsiTheme="minorHAnsi"/>
          <w:sz w:val="24"/>
          <w:szCs w:val="24"/>
        </w:rPr>
        <w:lastRenderedPageBreak/>
        <w:t xml:space="preserve">legislatívnou úpravou, v zákonnej výške, zodpovedá miere zapojenia zamestnanca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do realizácie daného projektu a predstavu</w:t>
      </w:r>
      <w:r w:rsidR="00542460" w:rsidRPr="00A1007F">
        <w:rPr>
          <w:rFonts w:asciiTheme="minorHAnsi" w:hAnsiTheme="minorHAnsi"/>
          <w:sz w:val="24"/>
          <w:szCs w:val="24"/>
        </w:rPr>
        <w:t>je konečný výdavok prijímateľa.</w:t>
      </w:r>
    </w:p>
    <w:p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 za všetky pracovné úväzky osoby kumulatívne</w:t>
      </w:r>
      <w:r w:rsidRPr="007D4D76">
        <w:rPr>
          <w:rFonts w:asciiTheme="minorHAnsi" w:hAnsiTheme="minorHAnsi"/>
          <w:sz w:val="24"/>
          <w:szCs w:val="24"/>
        </w:rPr>
        <w:t>, t.j. za všetky pracovné pomery, dohody mimo pracovného pomeru a štátnozamestnanecký pomer</w:t>
      </w:r>
      <w:r w:rsidRPr="007D4D76">
        <w:rPr>
          <w:rFonts w:asciiTheme="minorHAnsi" w:hAnsiTheme="minorHAnsi"/>
          <w:sz w:val="16"/>
          <w:szCs w:val="16"/>
        </w:rPr>
        <w:footnoteReference w:id="14"/>
      </w:r>
      <w:r w:rsidR="00592972" w:rsidRPr="007D4D76">
        <w:rPr>
          <w:rFonts w:asciiTheme="minorHAnsi" w:hAnsiTheme="minorHAnsi"/>
          <w:sz w:val="24"/>
          <w:szCs w:val="24"/>
        </w:rPr>
        <w:t>.</w:t>
      </w:r>
    </w:p>
    <w:p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Pracov</w:t>
      </w:r>
      <w:r w:rsidRPr="00A1007F">
        <w:rPr>
          <w:rFonts w:asciiTheme="minorHAnsi" w:hAnsiTheme="minorHAnsi"/>
          <w:b/>
          <w:sz w:val="24"/>
          <w:szCs w:val="24"/>
        </w:rPr>
        <w:t>né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 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Za neoprávnené výdavky sa budú považovať výdavky pri obchádzaní zákona č. 311/2001 Z. z. Zákonník práce v platnom znení (ďalej len ,,zákonník práce“) v prípadoch, ak s jednou a tou istou osobou sa uzatvorí reťazenie pracovnoprávnych vzťahov, napr. najskôr dohoda o vykonaní práce a po vyčerpaní stanoveného rozsahu pracovných hodín (350 hodín) sa uzatvorí ďalší zmluvný vzťah napr. príkazná zmluva, alebo dohoda o pracovnej činností a pod., pričom vykonávaná činnosť stále javí znaky závislej práce.</w:t>
      </w: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výdavky pri obchádzaní zákona č. 311/2001 Z. z. Zákonník práce v platnom znen</w:t>
      </w:r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í (ďalej len ,,zákonník práce“);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nemocenské dávky hradené zo strany Sociálnej poisťovne (keďže nie sú výdavkom prijímateľa);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týkajúce sa činností na projekte vykonávaných počas práceneschopnosti, ošetrovania člena rodiny a návštevy lekára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5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D35F02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D35F02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D35F02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6"/>
      </w:r>
      <w:r w:rsidRPr="00D35F02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ostatné výdavky na zamestnanca (napr. dary, benefity),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7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8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>tvorba sociálneho fondu (aj napriek tomu, že je pre zamestnávateľa povinnosťou, jeho čerpanie nesúvisí s realizáciu projektu);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r w:rsidR="00E364A5" w:rsidRPr="00A1007F">
        <w:rPr>
          <w:rFonts w:asciiTheme="minorHAnsi" w:hAnsiTheme="minorHAnsi"/>
          <w:sz w:val="24"/>
          <w:szCs w:val="24"/>
        </w:rPr>
        <w:t>predmetná</w:t>
      </w:r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 xml:space="preserve">ríručka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</w:t>
      </w:r>
      <w:del w:id="58" w:author="Autor">
        <w:r w:rsidR="00112D44" w:rsidRPr="00A1007F" w:rsidDel="00873B47">
          <w:rPr>
            <w:rFonts w:asciiTheme="minorHAnsi" w:hAnsiTheme="minorHAnsi"/>
            <w:sz w:val="24"/>
            <w:szCs w:val="24"/>
          </w:rPr>
          <w:delText>prijímateľa</w:delText>
        </w:r>
      </w:del>
      <w:ins w:id="59" w:author="Autor">
        <w:r w:rsidR="00873B47">
          <w:rPr>
            <w:rFonts w:asciiTheme="minorHAnsi" w:hAnsiTheme="minorHAnsi"/>
            <w:sz w:val="24"/>
            <w:szCs w:val="24"/>
          </w:rPr>
          <w:t>zamestnávateľa</w:t>
        </w:r>
      </w:ins>
      <w:r w:rsidR="00112D44" w:rsidRPr="00A1007F">
        <w:rPr>
          <w:rFonts w:asciiTheme="minorHAnsi" w:hAnsiTheme="minorHAnsi"/>
          <w:sz w:val="24"/>
          <w:szCs w:val="24"/>
        </w:rPr>
        <w:t>.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</w:t>
      </w:r>
      <w:ins w:id="60" w:author="Autor">
        <w:r w:rsidR="00873B47" w:rsidRPr="00C12691">
          <w:rPr>
            <w:rFonts w:asciiTheme="minorHAnsi" w:hAnsiTheme="minorHAnsi"/>
            <w:sz w:val="24"/>
            <w:szCs w:val="24"/>
            <w:rPrChange w:id="61" w:author="Autor">
              <w:rPr>
                <w:sz w:val="24"/>
                <w:szCs w:val="24"/>
              </w:rPr>
            </w:rPrChange>
          </w:rPr>
          <w:t>alebo sú osobami cieľovej skupiny</w:t>
        </w:r>
        <w:r w:rsidR="00873B47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>a zároveň 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</w:t>
      </w:r>
      <w:del w:id="62" w:author="Autor">
        <w:r w:rsidR="00201154" w:rsidDel="00873B47">
          <w:rPr>
            <w:rFonts w:asciiTheme="minorHAnsi" w:hAnsiTheme="minorHAnsi"/>
            <w:sz w:val="24"/>
            <w:szCs w:val="24"/>
          </w:rPr>
          <w:br/>
        </w:r>
      </w:del>
      <w:r w:rsidRPr="00A1007F">
        <w:rPr>
          <w:rFonts w:asciiTheme="minorHAnsi" w:hAnsiTheme="minorHAnsi"/>
          <w:sz w:val="24"/>
          <w:szCs w:val="24"/>
        </w:rPr>
        <w:t xml:space="preserve">sú ako domáce, tak i zahraničné cesty. 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9"/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potrebných vedľajších výdavkov. </w:t>
      </w:r>
    </w:p>
    <w:p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 2. </w:t>
      </w:r>
      <w:del w:id="63" w:author="Autor">
        <w:r w:rsidR="00873B47" w:rsidRPr="00A1007F" w:rsidDel="00873B47">
          <w:rPr>
            <w:rFonts w:asciiTheme="minorHAnsi" w:hAnsiTheme="minorHAnsi"/>
            <w:sz w:val="24"/>
            <w:szCs w:val="24"/>
          </w:rPr>
          <w:delText>T</w:delText>
        </w:r>
        <w:r w:rsidRPr="00A1007F" w:rsidDel="00873B47">
          <w:rPr>
            <w:rFonts w:asciiTheme="minorHAnsi" w:hAnsiTheme="minorHAnsi"/>
            <w:sz w:val="24"/>
            <w:szCs w:val="24"/>
          </w:rPr>
          <w:delText>riede</w:delText>
        </w:r>
      </w:del>
      <w:ins w:id="64" w:author="Autor">
        <w:r w:rsidR="00873B47">
          <w:rPr>
            <w:rFonts w:asciiTheme="minorHAnsi" w:hAnsiTheme="minorHAnsi"/>
            <w:sz w:val="24"/>
            <w:szCs w:val="24"/>
          </w:rPr>
          <w:t>t</w:t>
        </w:r>
        <w:r w:rsidR="00873B47" w:rsidRPr="00A1007F">
          <w:rPr>
            <w:rFonts w:asciiTheme="minorHAnsi" w:hAnsiTheme="minorHAnsi"/>
            <w:sz w:val="24"/>
            <w:szCs w:val="24"/>
          </w:rPr>
          <w:t>riede</w:t>
        </w:r>
        <w:r w:rsidR="00873B47">
          <w:rPr>
            <w:rFonts w:asciiTheme="minorHAnsi" w:hAnsiTheme="minorHAnsi"/>
            <w:sz w:val="24"/>
            <w:szCs w:val="24"/>
          </w:rPr>
          <w:t xml:space="preserve"> </w:t>
        </w:r>
        <w:r w:rsidR="00873B47" w:rsidRPr="00C12691">
          <w:rPr>
            <w:rFonts w:asciiTheme="minorHAnsi" w:hAnsiTheme="minorHAnsi"/>
            <w:sz w:val="24"/>
            <w:szCs w:val="24"/>
            <w:rPrChange w:id="65" w:author="Autor">
              <w:rPr/>
            </w:rPrChange>
          </w:rPr>
          <w:t>(v 1. triede ak vzdialenosť presahuje 200 km)</w:t>
        </w:r>
      </w:ins>
      <w:r w:rsidRPr="00873B47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</w:t>
      </w:r>
      <w:r w:rsidRPr="00A1007F">
        <w:rPr>
          <w:rFonts w:asciiTheme="minorHAnsi" w:hAnsiTheme="minorHAnsi"/>
        </w:rPr>
        <w:lastRenderedPageBreak/>
        <w:t>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</w:t>
      </w:r>
      <w:ins w:id="66" w:author="Autor">
        <w:r w:rsidR="00873B47" w:rsidRPr="00C12691">
          <w:rPr>
            <w:rFonts w:asciiTheme="minorHAnsi" w:hAnsiTheme="minorHAnsi"/>
            <w:rPrChange w:id="67" w:author="Autor">
              <w:rPr/>
            </w:rPrChange>
          </w:rPr>
          <w:t xml:space="preserve">písomne </w:t>
        </w:r>
      </w:ins>
      <w:r w:rsidR="0048473E" w:rsidRPr="00A1007F">
        <w:rPr>
          <w:rFonts w:asciiTheme="minorHAnsi" w:hAnsiTheme="minorHAnsi"/>
        </w:rPr>
        <w:t xml:space="preserve">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r w:rsidR="00312A59" w:rsidRPr="00312A59">
        <w:t xml:space="preserve"> </w:t>
      </w:r>
      <w:r w:rsidR="00312A59" w:rsidRPr="00360B89">
        <w:rPr>
          <w:rFonts w:asciiTheme="minorHAnsi" w:hAnsiTheme="minorHAnsi"/>
        </w:rPr>
        <w:t>poskytnutého zamestnávateľom</w:t>
      </w:r>
      <w:r w:rsidRPr="00A1007F">
        <w:rPr>
          <w:rFonts w:asciiTheme="minorHAnsi" w:hAnsiTheme="minorHAnsi"/>
        </w:rPr>
        <w:t xml:space="preserve">, </w:t>
      </w:r>
      <w:ins w:id="68" w:author="Autor">
        <w:r w:rsidR="00873B47" w:rsidRPr="00C12691">
          <w:rPr>
            <w:rFonts w:asciiTheme="minorHAnsi" w:hAnsiTheme="minorHAnsi"/>
            <w:rPrChange w:id="69" w:author="Autor">
              <w:rPr/>
            </w:rPrChange>
          </w:rPr>
          <w:t>zamestnancovi patrí základná náhrada za každý 1 km jazdy a náhrada za spotrebované pohonné látky.</w:t>
        </w:r>
        <w:r w:rsidR="00873B47">
          <w:t xml:space="preserve"> </w:t>
        </w:r>
      </w:ins>
      <w:del w:id="70" w:author="Autor">
        <w:r w:rsidRPr="00A1007F" w:rsidDel="00873B47">
          <w:rPr>
            <w:rFonts w:asciiTheme="minorHAnsi" w:hAnsiTheme="minorHAnsi"/>
          </w:rPr>
          <w:delText>oprávnené výdavky sa určia len do výšky výdavkov na cestovné verejnou dopravou. Nárok na úhradu cestovného má iba vodič motorového vozidla, t.j. ak sú v motorovom vozidle viaceré osoby, nárok na úhradu má iba jedna osoba - vodič motorového vozidla</w:delText>
        </w:r>
        <w:r w:rsidR="00042E56" w:rsidRPr="00A1007F" w:rsidDel="00873B47">
          <w:rPr>
            <w:rFonts w:asciiTheme="minorHAnsi" w:hAnsiTheme="minorHAnsi"/>
          </w:rPr>
          <w:delText>.</w:delText>
        </w:r>
      </w:del>
      <w:r w:rsidR="00042E56"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</w:t>
      </w:r>
      <w:ins w:id="71" w:author="Autor">
        <w:r w:rsidR="00873B47">
          <w:rPr>
            <w:rStyle w:val="Odkaznapoznmkupodiarou"/>
            <w:rFonts w:asciiTheme="minorHAnsi" w:hAnsiTheme="minorHAnsi"/>
          </w:rPr>
          <w:footnoteReference w:id="20"/>
        </w:r>
      </w:ins>
      <w:r w:rsidRPr="00A1007F">
        <w:rPr>
          <w:rFonts w:asciiTheme="minorHAnsi" w:hAnsiTheme="minorHAnsi"/>
        </w:rPr>
        <w:t xml:space="preserve">. V prípade, že prijímateľ nepreukáže vyššie uvedené podmienky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</w:t>
      </w:r>
      <w:r w:rsidR="00096581" w:rsidRPr="00A1007F">
        <w:rPr>
          <w:rFonts w:asciiTheme="minorHAnsi" w:hAnsiTheme="minorHAnsi"/>
        </w:rPr>
        <w:t>M</w:t>
      </w:r>
      <w:r w:rsidRPr="00A1007F">
        <w:rPr>
          <w:rFonts w:asciiTheme="minorHAnsi" w:hAnsiTheme="minorHAnsi"/>
        </w:rPr>
        <w:t xml:space="preserve">aximálny cenový limit pre ubytovanie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na území SR a v</w:t>
      </w:r>
      <w:r w:rsidR="00096581" w:rsidRPr="00A1007F">
        <w:rPr>
          <w:rFonts w:asciiTheme="minorHAnsi" w:hAnsiTheme="minorHAnsi"/>
        </w:rPr>
        <w:t> </w:t>
      </w:r>
      <w:r w:rsidRPr="00A1007F">
        <w:rPr>
          <w:rFonts w:asciiTheme="minorHAnsi" w:hAnsiTheme="minorHAnsi"/>
        </w:rPr>
        <w:t>zahraničí</w:t>
      </w:r>
      <w:r w:rsidR="00096581" w:rsidRPr="00A1007F">
        <w:rPr>
          <w:rFonts w:asciiTheme="minorHAnsi" w:hAnsiTheme="minorHAnsi"/>
        </w:rPr>
        <w:t xml:space="preserve"> </w:t>
      </w:r>
      <w:r w:rsidR="00A37B42" w:rsidRPr="00A1007F">
        <w:rPr>
          <w:rFonts w:asciiTheme="minorHAnsi" w:hAnsiTheme="minorHAnsi"/>
        </w:rPr>
        <w:t>(</w:t>
      </w:r>
      <w:r w:rsidR="00096581" w:rsidRPr="00A1007F">
        <w:rPr>
          <w:rFonts w:asciiTheme="minorHAnsi" w:hAnsiTheme="minorHAnsi"/>
        </w:rPr>
        <w:t>pre zamestnanca/osobu vyslanú na pracovnú cestu</w:t>
      </w:r>
      <w:r w:rsidR="00A37B42" w:rsidRPr="00A1007F">
        <w:rPr>
          <w:rFonts w:asciiTheme="minorHAnsi" w:hAnsiTheme="minorHAnsi"/>
        </w:rPr>
        <w:t>)</w:t>
      </w:r>
      <w:r w:rsidR="00096581" w:rsidRPr="00A1007F">
        <w:rPr>
          <w:rFonts w:asciiTheme="minorHAnsi" w:hAnsiTheme="minorHAnsi"/>
        </w:rPr>
        <w:t xml:space="preserve"> </w:t>
      </w:r>
      <w:r w:rsidR="003469CA" w:rsidRPr="00A1007F">
        <w:rPr>
          <w:rFonts w:asciiTheme="minorHAnsi" w:hAnsiTheme="minorHAnsi"/>
        </w:rPr>
        <w:t xml:space="preserve">bude stanovený v relevantnom </w:t>
      </w:r>
      <w:r w:rsidR="005A59B3" w:rsidRPr="00A1007F">
        <w:rPr>
          <w:rFonts w:asciiTheme="minorHAnsi" w:hAnsiTheme="minorHAnsi"/>
        </w:rPr>
        <w:t xml:space="preserve">písomnom </w:t>
      </w:r>
      <w:r w:rsidR="003469CA" w:rsidRPr="00A1007F">
        <w:rPr>
          <w:rFonts w:asciiTheme="minorHAnsi" w:hAnsiTheme="minorHAnsi"/>
        </w:rPr>
        <w:t>vyzvaní.</w:t>
      </w:r>
      <w:r w:rsidRPr="00A1007F">
        <w:rPr>
          <w:rFonts w:asciiTheme="minorHAnsi" w:hAnsiTheme="minorHAnsi"/>
        </w:rPr>
        <w:t xml:space="preserve"> Zároveň však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 xml:space="preserve">v kalendárnom dni. Sadzby stravného pre </w:t>
      </w:r>
      <w:r w:rsidR="0006464A">
        <w:rPr>
          <w:rFonts w:asciiTheme="minorHAnsi" w:hAnsiTheme="minorHAnsi"/>
        </w:rPr>
        <w:t xml:space="preserve">tuzemskú </w:t>
      </w:r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r w:rsidR="0006464A" w:rsidRPr="00360B89">
        <w:rPr>
          <w:rFonts w:asciiTheme="minorHAnsi" w:hAnsiTheme="minorHAnsi"/>
        </w:rPr>
        <w:t>v eurách alebo v cudzej mene</w:t>
      </w:r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 potrebných vedľajších výdavkov ide o výdavky spojené s pracovnou cestou ako napr. parkovné,  diaľničný poplatok</w:t>
      </w:r>
      <w:r w:rsidRPr="00A1007F">
        <w:rPr>
          <w:rStyle w:val="Odkaznapoznmkupodiarou"/>
          <w:rFonts w:asciiTheme="minorHAnsi" w:hAnsiTheme="minorHAnsi"/>
        </w:rPr>
        <w:footnoteReference w:id="21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:rsidR="00104A14" w:rsidRPr="00A1007F" w:rsidRDefault="00104A14" w:rsidP="00902EB7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 xml:space="preserve">oNFP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:rsidR="00D37073" w:rsidRPr="00A1007F" w:rsidRDefault="00D37073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2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kedy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Medzi najčastejšie typy služieb, ktoré je možné zaradiť pod 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>patria nasledovné: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3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r w:rsidR="0006464A" w:rsidRPr="00360B89">
        <w:rPr>
          <w:rFonts w:asciiTheme="minorHAnsi" w:hAnsiTheme="minorHAnsi"/>
          <w:sz w:val="24"/>
          <w:szCs w:val="24"/>
        </w:rPr>
        <w:t>organizačné zabezpečenie</w:t>
      </w:r>
      <w:r w:rsidR="000646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r w:rsidR="0006464A">
        <w:rPr>
          <w:rFonts w:asciiTheme="minorHAnsi" w:hAnsiTheme="minorHAnsi"/>
          <w:sz w:val="24"/>
          <w:szCs w:val="24"/>
        </w:rPr>
        <w:t xml:space="preserve"> prenájom</w:t>
      </w:r>
      <w:r w:rsidRPr="00A1007F">
        <w:rPr>
          <w:rFonts w:asciiTheme="minorHAnsi" w:hAnsiTheme="minorHAnsi"/>
          <w:sz w:val="24"/>
          <w:szCs w:val="24"/>
        </w:rPr>
        <w:t xml:space="preserve"> techniky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t xml:space="preserve"> 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4"/>
      </w:r>
      <w:r w:rsidR="0006464A">
        <w:rPr>
          <w:rFonts w:asciiTheme="minorHAnsi" w:hAnsiTheme="minorHAnsi"/>
          <w:sz w:val="24"/>
          <w:szCs w:val="24"/>
          <w:vertAlign w:val="superscript"/>
        </w:rPr>
        <w:t>,</w:t>
      </w:r>
      <w:r w:rsidR="0006464A" w:rsidRPr="00360B89">
        <w:rPr>
          <w:rStyle w:val="Odkaznapoznmkupodiarou"/>
          <w:rFonts w:asciiTheme="minorHAnsi" w:hAnsiTheme="minorHAnsi"/>
          <w:sz w:val="24"/>
          <w:szCs w:val="24"/>
        </w:rPr>
        <w:footnoteReference w:id="25"/>
      </w:r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7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lastRenderedPageBreak/>
        <w:t>Neoprávnenými výdavkami sú spravidla služby, ktoré neprispievajú k dosahovaniu cieľov projektu</w:t>
      </w:r>
      <w:del w:id="77" w:author="Autor">
        <w:r w:rsidRPr="00FE2F06" w:rsidDel="00873B47">
          <w:rPr>
            <w:rFonts w:asciiTheme="minorHAnsi" w:hAnsiTheme="minorHAnsi"/>
            <w:b/>
            <w:color w:val="365F91"/>
            <w:sz w:val="24"/>
            <w:szCs w:val="24"/>
          </w:rPr>
          <w:delText>/</w:delText>
        </w:r>
      </w:del>
      <w:ins w:id="78" w:author="Autor">
        <w:r w:rsidR="00873B47">
          <w:rPr>
            <w:rFonts w:asciiTheme="minorHAnsi" w:hAnsiTheme="minorHAnsi"/>
            <w:b/>
            <w:color w:val="365F91"/>
            <w:sz w:val="24"/>
            <w:szCs w:val="24"/>
          </w:rPr>
          <w:t xml:space="preserve"> a </w:t>
        </w:r>
      </w:ins>
      <w:r w:rsidRPr="00FE2F06">
        <w:rPr>
          <w:rFonts w:asciiTheme="minorHAnsi" w:hAnsiTheme="minorHAnsi"/>
          <w:b/>
          <w:color w:val="365F91"/>
          <w:sz w:val="24"/>
          <w:szCs w:val="24"/>
        </w:rPr>
        <w:t>nie sú pre jeho realizáciu nevyhnutné</w:t>
      </w:r>
      <w:del w:id="79" w:author="Autor">
        <w:r w:rsidR="00B4740F" w:rsidRPr="00FE2F06" w:rsidDel="00873B47">
          <w:rPr>
            <w:rFonts w:asciiTheme="minorHAnsi" w:hAnsiTheme="minorHAnsi"/>
            <w:b/>
            <w:color w:val="365F91"/>
            <w:sz w:val="24"/>
            <w:szCs w:val="24"/>
          </w:rPr>
          <w:delText xml:space="preserve">, resp. služby, ktoré </w:delText>
        </w:r>
        <w:r w:rsidR="003F5214" w:rsidRPr="00FE2F06" w:rsidDel="00873B47">
          <w:rPr>
            <w:rFonts w:asciiTheme="minorHAnsi" w:hAnsiTheme="minorHAnsi"/>
            <w:b/>
            <w:color w:val="365F91"/>
            <w:sz w:val="24"/>
            <w:szCs w:val="24"/>
          </w:rPr>
          <w:delText>nesúvisia s plnením úloh RO</w:delText>
        </w:r>
        <w:r w:rsidRPr="00FE2F06" w:rsidDel="00873B47">
          <w:rPr>
            <w:rFonts w:asciiTheme="minorHAnsi" w:hAnsiTheme="minorHAnsi"/>
            <w:b/>
            <w:color w:val="365F91"/>
            <w:sz w:val="24"/>
            <w:szCs w:val="24"/>
          </w:rPr>
          <w:delText>.</w:delText>
        </w:r>
      </w:del>
      <w:ins w:id="80" w:author="Autor">
        <w:r w:rsidR="00873B47">
          <w:rPr>
            <w:rFonts w:asciiTheme="minorHAnsi" w:hAnsiTheme="minorHAnsi"/>
            <w:b/>
            <w:color w:val="365F91"/>
            <w:sz w:val="24"/>
            <w:szCs w:val="24"/>
          </w:rPr>
          <w:t>.</w:t>
        </w:r>
      </w:ins>
    </w:p>
    <w:p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Výdavky súvisiace s prevádzkovou podporou implementácie OP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</w:t>
      </w:r>
      <w:ins w:id="81" w:author="Autor">
        <w:r w:rsidR="00D93863">
          <w:rPr>
            <w:rFonts w:asciiTheme="minorHAnsi" w:hAnsiTheme="minorHAnsi"/>
            <w:sz w:val="24"/>
            <w:szCs w:val="24"/>
          </w:rPr>
          <w:t>.</w:t>
        </w:r>
      </w:ins>
      <w:r w:rsidRPr="00A1007F">
        <w:rPr>
          <w:rFonts w:asciiTheme="minorHAnsi" w:hAnsiTheme="minorHAnsi"/>
          <w:sz w:val="24"/>
          <w:szCs w:val="24"/>
        </w:rPr>
        <w:t xml:space="preserve">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8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to platí aj v prípade ostatných prevádzkových nákladov (energie, voda, spotrebný materiál, internet apod.), oprávneným výdavkom bude len pomerná časť týchto výdavkov vzťahujúcich sa na projekt. V prípade, že prijímateľ vlastní priestory, v ktorých sa projekt realizuje, alebo ich využíva bezplatne, nie sú výdavky na nájom oprávnené.</w:t>
      </w:r>
    </w:p>
    <w:p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ŽoP predloží spôsob výpočtu oprávnenej výšky jednotlivých výdavkov.</w:t>
      </w:r>
    </w:p>
    <w:p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Prevádzkové výdavky, ktoré sa týkajú všeobecnej prevádzky organizácie bez príčinnej väzby na projekt ako i výdavky zodpovedajúce svojím vymedzením účtovnej kategórii mimoriadnych nákladov sú neoprávnenými výdavkami. 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9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30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a penále, prípadne ďalšie sankčné výdavky, či už dohodnuté v zmluvách alebo vzniknuté z iných príčin; manká a škody, úroky z úverov a pôžičiek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31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náklady 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pod.). Výnimku tvoria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82" w:name="_Toc444689814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82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2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014 - Oceniteľné práva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atď;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013.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 / 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lastRenderedPageBreak/>
        <w:t>02 – Dlhodobý 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prevádzkových / 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nákup počítačových sietí, ktoré spĺňajú kritériá pre kapitálové výdavky; samostatné zariadenia súvisiace s obstaraním týchto komunikačných sietí, vrátane IP telefónie.</w:t>
      </w:r>
    </w:p>
    <w:p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 / 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112 - Zásoby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procesorov k počítačom, nenahratých nosičov dát pre výpočtovú techniku, tlačiarní, podávačov k tlačiarňam, čípových kariet),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 / špeciálnych strojov, prístrojov, zariadení, techniky a náradia, ktoré nespĺňajú kritériá obstarania dlhodobého hmotného majetku z kapitálových výdavkov,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:rsidR="00E94CFD" w:rsidRPr="00A1007F" w:rsidRDefault="003E4967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94CFD">
        <w:rPr>
          <w:rFonts w:asciiTheme="minorHAnsi" w:hAnsiTheme="minorHAnsi"/>
          <w:sz w:val="24"/>
          <w:szCs w:val="24"/>
        </w:rPr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:rsidR="00094D45" w:rsidRPr="00E94CFD" w:rsidRDefault="00094D45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b/>
          <w:sz w:val="24"/>
          <w:szCs w:val="24"/>
          <w:u w:val="single"/>
        </w:rPr>
        <w:pPrChange w:id="83" w:author="Autor">
          <w:pPr>
            <w:pStyle w:val="Odsekzoznamu"/>
            <w:numPr>
              <w:numId w:val="2"/>
            </w:numPr>
            <w:spacing w:after="0" w:line="240" w:lineRule="auto"/>
            <w:ind w:left="284" w:hanging="284"/>
            <w:jc w:val="both"/>
          </w:pPr>
        </w:pPrChange>
      </w:pPr>
    </w:p>
    <w:p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Vecné vymedzenie</w:t>
      </w:r>
    </w:p>
    <w:p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organizácie).</w:t>
      </w:r>
    </w:p>
    <w:p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5E16A3" w:rsidRPr="00094D45" w:rsidRDefault="005E16A3" w:rsidP="00094D45">
      <w:pPr>
        <w:pStyle w:val="Odsekzoznamu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kontroly.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telekomunikačnej techniky (zvukové a obrazové prístroje vrátane spojovej techniky, spojovacieho a zabezpečovacieho materiálu a materiálu pre zabezpečenie zvukového a obrazového spojenia);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archívnych);</w:t>
      </w:r>
    </w:p>
    <w:p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tuzemské / zahraničné cestovné náhrady bezprostredne súvisiace s implementáciou projektu;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VSNET); poplatky za IP telefóniu;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prepravné a nájom dopravných prostriedkov (nesúvisiace s nákupom tovarov) - napr. zabezpečenie prepravy osôb taxislužbou alebo iným dodávateľom prepravnej služby,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budov, objektov alebo ich častí (napr. kancelárskych, archívnych), ak je nevyhnutný na dosiahnutie cieľov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 / 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 projektom,</w:t>
      </w:r>
    </w:p>
    <w:p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vizuál, logo, dizajn manuál, slogany, informačnú kampaň, prieskumy, filmové šoty;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tvorbu odborných publikácií a príručiek, resp. iných odborných materiálov (obstaraných dodávateľsky);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výdavky súvisiace s kultúrnou činnosťou, vrátane mládežníckych podujatí, na vecné dary pri kultúrnych podujatiach, finančné odmeny za kultúrne podujatia, za spracovanie súťažných podkladov</w:t>
      </w:r>
    </w:p>
    <w:p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na reprezentačné účely zabezpečované prostredníctvom catteringovej spoločnosti, resp. reštauračným zariadením, ostatné výdavky spojené s pobytom oficiálnych hostí za ubytovanie, dopravu, tlmočenie a za vstupné na kultúrny program a kultúrne podujatie.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7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 zmysle ustanovení §§ 223-228 z. č. 311/2001 Z. z. Zákonníka práce v znení neskorších predpisov (t. j. dohoda o vykonaní práce ak ide o prácu, ktorá je vymedzená výsledkom, 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84" w:name="_Toc444689815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84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F3B44" w:rsidRPr="00A1007F" w:rsidRDefault="00252C6F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u w:val="single"/>
        </w:rPr>
        <w:t>Okrem neoprávnených výdavkov</w:t>
      </w:r>
      <w:r w:rsidRPr="00A1007F">
        <w:rPr>
          <w:rFonts w:asciiTheme="minorHAnsi" w:hAnsiTheme="minorHAnsi"/>
          <w:sz w:val="24"/>
          <w:szCs w:val="24"/>
        </w:rPr>
        <w:t xml:space="preserve">, ktoré sú uvedené v časti 5 tejto Príručky </w:t>
      </w:r>
      <w:r w:rsidR="0079218A" w:rsidRPr="00A1007F">
        <w:rPr>
          <w:rFonts w:asciiTheme="minorHAnsi" w:hAnsiTheme="minorHAnsi"/>
          <w:sz w:val="24"/>
          <w:szCs w:val="24"/>
        </w:rPr>
        <w:t xml:space="preserve">sú </w:t>
      </w:r>
      <w:r w:rsidR="00F71F4E" w:rsidRPr="00A1007F">
        <w:rPr>
          <w:rFonts w:asciiTheme="minorHAnsi" w:hAnsiTheme="minorHAnsi"/>
          <w:sz w:val="24"/>
          <w:szCs w:val="24"/>
        </w:rPr>
        <w:t xml:space="preserve">najčastejšie </w:t>
      </w:r>
      <w:r w:rsidR="00201154">
        <w:rPr>
          <w:rFonts w:asciiTheme="minorHAnsi" w:hAnsiTheme="minorHAnsi"/>
          <w:sz w:val="24"/>
          <w:szCs w:val="24"/>
        </w:rPr>
        <w:br/>
      </w:r>
      <w:r w:rsidR="00F71F4E" w:rsidRPr="00A1007F">
        <w:rPr>
          <w:rFonts w:asciiTheme="minorHAnsi" w:hAnsiTheme="minorHAnsi"/>
          <w:sz w:val="24"/>
          <w:szCs w:val="24"/>
        </w:rPr>
        <w:t>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neoprávnené výdavky</w:t>
      </w:r>
      <w:r w:rsidR="00D54351" w:rsidRPr="00A1007F">
        <w:rPr>
          <w:rFonts w:asciiTheme="minorHAnsi" w:hAnsiTheme="minorHAnsi"/>
          <w:b/>
          <w:sz w:val="24"/>
          <w:szCs w:val="24"/>
        </w:rPr>
        <w:t xml:space="preserve"> TP </w:t>
      </w:r>
      <w:r w:rsidR="00F71F4E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8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 preukázané,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projektu,</w:t>
      </w:r>
    </w:p>
    <w:p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2023, </w:t>
      </w:r>
    </w:p>
    <w:p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región,</w:t>
      </w:r>
    </w:p>
    <w:p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účtovníctva.</w:t>
      </w:r>
    </w:p>
    <w:p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bankové poplatky;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 projektom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akákoľvek časť výdavkov, ktorou by sa prekročila maximálna intenzita pomoci, alebo stanovené finančné limity;</w:t>
      </w:r>
    </w:p>
    <w:p w:rsidR="00D54351" w:rsidRPr="00A1007F" w:rsidRDefault="00D54351" w:rsidP="00A526B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D8571A" w:rsidRDefault="001F3B44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Neoprávnené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 </w:t>
      </w:r>
      <w:r w:rsidR="00201154">
        <w:rPr>
          <w:rFonts w:asciiTheme="minorHAnsi" w:hAnsiTheme="minorHAnsi"/>
          <w:b/>
          <w:color w:val="365F91"/>
          <w:sz w:val="24"/>
          <w:szCs w:val="24"/>
        </w:rPr>
        <w:br/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85" w:name="_Toc444689816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85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9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ŽoNFP. </w:t>
      </w:r>
    </w:p>
    <w:p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F14">
        <w:rPr>
          <w:rFonts w:asciiTheme="minorHAnsi" w:hAnsiTheme="minorHAnsi"/>
          <w:sz w:val="24"/>
          <w:szCs w:val="24"/>
        </w:rPr>
        <w:lastRenderedPageBreak/>
        <w:t xml:space="preserve">Nastavenie podmienok vzťahujúcich sa na hospodárnosť výdavkov projektov OP </w:t>
      </w:r>
      <w:r w:rsidR="00297D87" w:rsidRPr="00E11F14">
        <w:rPr>
          <w:rFonts w:asciiTheme="minorHAnsi" w:hAnsiTheme="minorHAnsi"/>
          <w:sz w:val="24"/>
          <w:szCs w:val="24"/>
        </w:rPr>
        <w:t>TP</w:t>
      </w:r>
      <w:r w:rsidRPr="00E11F14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C12691">
        <w:rPr>
          <w:rFonts w:asciiTheme="minorHAnsi" w:hAnsiTheme="minorHAnsi"/>
          <w:sz w:val="24"/>
          <w:szCs w:val="24"/>
        </w:rPr>
        <w:t xml:space="preserve"> </w:t>
      </w:r>
      <w:r w:rsidRPr="00D35F02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 w:rsidRPr="00C12691">
        <w:rPr>
          <w:rFonts w:asciiTheme="minorHAnsi" w:hAnsiTheme="minorHAnsi"/>
          <w:sz w:val="24"/>
          <w:szCs w:val="24"/>
        </w:rPr>
        <w:br/>
      </w:r>
      <w:r w:rsidRPr="00C12691">
        <w:rPr>
          <w:rFonts w:asciiTheme="minorHAnsi" w:hAnsiTheme="minorHAnsi"/>
          <w:sz w:val="24"/>
          <w:szCs w:val="24"/>
        </w:rPr>
        <w:t>a overovania (zo strany RO) hospodárnosti výdavkov projektu</w:t>
      </w:r>
      <w:del w:id="86" w:author="Autor">
        <w:r w:rsidRPr="00C12691" w:rsidDel="00E11F14">
          <w:rPr>
            <w:rFonts w:asciiTheme="minorHAnsi" w:hAnsiTheme="minorHAnsi"/>
            <w:sz w:val="24"/>
            <w:szCs w:val="24"/>
          </w:rPr>
          <w:delText xml:space="preserve"> prostredníctvom</w:delText>
        </w:r>
        <w:r w:rsidR="00847195" w:rsidRPr="00C12691" w:rsidDel="00E11F14">
          <w:rPr>
            <w:rFonts w:asciiTheme="minorHAnsi" w:hAnsiTheme="minorHAnsi"/>
            <w:sz w:val="24"/>
            <w:szCs w:val="24"/>
          </w:rPr>
          <w:delText xml:space="preserve"> </w:delText>
        </w:r>
        <w:r w:rsidRPr="00C12691" w:rsidDel="00E11F14">
          <w:rPr>
            <w:rFonts w:asciiTheme="minorHAnsi" w:hAnsiTheme="minorHAnsi"/>
            <w:sz w:val="24"/>
            <w:szCs w:val="24"/>
          </w:rPr>
          <w:delText>využitia</w:delText>
        </w:r>
        <w:r w:rsidR="00847195" w:rsidRPr="00C12691" w:rsidDel="00E11F14">
          <w:rPr>
            <w:rFonts w:asciiTheme="minorHAnsi" w:hAnsiTheme="minorHAnsi"/>
            <w:sz w:val="24"/>
            <w:szCs w:val="24"/>
          </w:rPr>
          <w:delText xml:space="preserve"> </w:delText>
        </w:r>
        <w:r w:rsidRPr="00C12691" w:rsidDel="00E11F14">
          <w:rPr>
            <w:rFonts w:asciiTheme="minorHAnsi" w:hAnsiTheme="minorHAnsi"/>
            <w:sz w:val="24"/>
            <w:szCs w:val="24"/>
          </w:rPr>
          <w:delText>finančných</w:delText>
        </w:r>
        <w:r w:rsidR="00847195" w:rsidRPr="00C12691" w:rsidDel="00E11F14">
          <w:rPr>
            <w:rFonts w:asciiTheme="minorHAnsi" w:hAnsiTheme="minorHAnsi"/>
            <w:sz w:val="24"/>
            <w:szCs w:val="24"/>
          </w:rPr>
          <w:delText xml:space="preserve"> </w:delText>
        </w:r>
        <w:r w:rsidRPr="00C12691" w:rsidDel="00E11F14">
          <w:rPr>
            <w:rFonts w:asciiTheme="minorHAnsi" w:hAnsiTheme="minorHAnsi"/>
            <w:sz w:val="24"/>
            <w:szCs w:val="24"/>
          </w:rPr>
          <w:delText>limitov</w:delText>
        </w:r>
      </w:del>
      <w:r w:rsidRPr="00C12691">
        <w:rPr>
          <w:rFonts w:asciiTheme="minorHAnsi" w:hAnsiTheme="minorHAnsi"/>
          <w:sz w:val="24"/>
          <w:szCs w:val="24"/>
        </w:rPr>
        <w:t xml:space="preserve"> s dôrazom na dodržiavanie zásady ,,hodnota za peniaze/value for money“.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(ŽoNFP) z hľadiska hospodárnosti primárne v nasledujúcich procesných fázach implementácie: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konanie o ŽoNFP,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realizácia projektu,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40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ŽoNFP) sú vynaložené hospodárne. Pomocnými nástrojmi sú najmä: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RO vopred</w:t>
      </w:r>
      <w:r>
        <w:rPr>
          <w:rStyle w:val="Odkaznapoznmkupodiarou"/>
          <w:sz w:val="24"/>
          <w:szCs w:val="24"/>
        </w:rPr>
        <w:footnoteReference w:id="41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2"/>
      </w:r>
      <w:r>
        <w:rPr>
          <w:sz w:val="24"/>
          <w:szCs w:val="24"/>
        </w:rPr>
        <w:t xml:space="preserve">. Následne vybrané pomocné nástroje bude </w:t>
      </w:r>
      <w:r>
        <w:rPr>
          <w:sz w:val="24"/>
          <w:szCs w:val="24"/>
        </w:rPr>
        <w:lastRenderedPageBreak/>
        <w:t>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43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44"/>
      </w:r>
      <w:r w:rsidR="00186D11">
        <w:rPr>
          <w:sz w:val="24"/>
          <w:szCs w:val="24"/>
        </w:rPr>
        <w:t>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r w:rsidRPr="00A1007F">
        <w:rPr>
          <w:rFonts w:asciiTheme="minorHAnsi" w:hAnsiTheme="minorHAnsi"/>
          <w:b/>
          <w:sz w:val="24"/>
          <w:szCs w:val="24"/>
        </w:rPr>
        <w:t xml:space="preserve"> za hospodárny. </w:t>
      </w:r>
    </w:p>
    <w:p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 xml:space="preserve">(ďalej len „zákon o znalcoch, tlmočníkoch a predkladateľoch) </w:t>
      </w:r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 nesmie byť starší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ako 3 mesiace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>predloženia Poskytovateľovi na overenie)</w:t>
      </w:r>
      <w:r w:rsidR="00A02CEC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5"/>
      </w:r>
      <w:r w:rsidR="00A02CEC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podľa zákona o znalcoch, tlmočníkoch a predkladateľoch je možné zo strany žiadateľa preukázať hospodárnosť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obstaranie hnuteľného majetku (napr. špeciálne strojné zariadenia, technológie) 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V prípade, ak žiadateľ ukončil proces VO pred predložením ŽoNFP, je oprávnený preukázať hospodárnosť predmetných výdavkov na základe výsledku zrealizovaného VO. V takom prípade žiadateľ stanoví v rozpočte ŽoNFP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Prieskum trhu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slúži ako podklad na stanovenie výšky výdavkov v rámci predloženej ŽoNFP a overenie hospodárnosti a efektívnosti výdavkov, v prípade, že žiadateľ nezrealizoval verejné obstarávanie pred predložením ŽoNFP (resp. v rámci ŽoNFP nepredložil znalecký, resp. odborný posudok).</w:t>
      </w:r>
    </w:p>
    <w:p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46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:rsidR="00AF4647" w:rsidRPr="00A1007F" w:rsidRDefault="0079464A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ins w:id="88" w:author="Autor">
        <w:r>
          <w:rPr>
            <w:sz w:val="24"/>
            <w:szCs w:val="24"/>
          </w:rPr>
          <w:t>V prípade, že daný výdavok spadá pod tovar/službu/prácu, ktorá je v zmysle § 9b zákona č. 25/2006 Z. z. o verejnom obstarávaní a o zmene a doplnení niektorých zákonov v znení neskorších predpisov, resp. § 2 ods. 5, písm. o) a ods. 6, ods. 7 zákona č. 343/2015 Z. z. o verejnom obstarávaní a o zmene a doplnení niektorých zákonov v znení zákona č. 438/2015 Z. z. bežne dostupná na trhu, prieskum trhu môže žiadateľ vykonať aj na základe údajov zverejnených na elektronickom trhovisku (</w:t>
        </w:r>
        <w:r>
          <w:fldChar w:fldCharType="begin"/>
        </w:r>
        <w:r>
          <w:instrText xml:space="preserve"> HYPERLINK "http://www.eks.sk" </w:instrText>
        </w:r>
        <w:r>
          <w:fldChar w:fldCharType="separate"/>
        </w:r>
        <w:r>
          <w:rPr>
            <w:rStyle w:val="Hypertextovprepojenie"/>
            <w:sz w:val="24"/>
            <w:szCs w:val="24"/>
          </w:rPr>
          <w:t>www.eks.sk</w:t>
        </w:r>
        <w:r>
          <w:rPr>
            <w:rStyle w:val="Hypertextovprepojenie"/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). </w:t>
        </w:r>
      </w:ins>
      <w:del w:id="89" w:author="Autor">
        <w:r w:rsidR="00AF4647" w:rsidRPr="00A1007F" w:rsidDel="0079464A">
          <w:rPr>
            <w:rFonts w:asciiTheme="minorHAnsi" w:hAnsiTheme="minorHAnsi"/>
            <w:sz w:val="24"/>
            <w:szCs w:val="24"/>
          </w:rPr>
          <w:delText>V prípade, že daný výdavok spadá pod tovar/službu/prácu, ktorá je v zmysle § 9b zákona</w:delText>
        </w:r>
        <w:r w:rsidR="006701A4" w:rsidRPr="00A1007F" w:rsidDel="0079464A">
          <w:rPr>
            <w:rFonts w:asciiTheme="minorHAnsi" w:hAnsiTheme="minorHAnsi"/>
            <w:sz w:val="24"/>
            <w:szCs w:val="24"/>
          </w:rPr>
          <w:delText xml:space="preserve"> </w:delText>
        </w:r>
        <w:r w:rsidR="00201154" w:rsidDel="0079464A">
          <w:rPr>
            <w:rFonts w:asciiTheme="minorHAnsi" w:hAnsiTheme="minorHAnsi"/>
            <w:sz w:val="24"/>
            <w:szCs w:val="24"/>
          </w:rPr>
          <w:br/>
        </w:r>
        <w:r w:rsidR="006701A4" w:rsidRPr="00A1007F" w:rsidDel="0079464A">
          <w:rPr>
            <w:rFonts w:asciiTheme="minorHAnsi" w:hAnsiTheme="minorHAnsi"/>
            <w:sz w:val="24"/>
            <w:szCs w:val="24"/>
          </w:rPr>
          <w:delText>o VO</w:delText>
        </w:r>
        <w:r w:rsidR="00AF4647" w:rsidRPr="00A1007F" w:rsidDel="0079464A">
          <w:rPr>
            <w:rFonts w:asciiTheme="minorHAnsi" w:hAnsiTheme="minorHAnsi"/>
            <w:sz w:val="24"/>
            <w:szCs w:val="24"/>
          </w:rPr>
          <w:delText xml:space="preserve"> bežne dostupný na trhu, prieskum trhu môže žiadateľ vykonať aj na základe údajov zverejnených na elektronickom trhovisku (</w:delText>
        </w:r>
        <w:r w:rsidDel="0079464A">
          <w:fldChar w:fldCharType="begin"/>
        </w:r>
        <w:r w:rsidDel="0079464A">
          <w:delInstrText xml:space="preserve"> HYPERLINK "http://www.eks.sk" </w:delInstrText>
        </w:r>
        <w:r w:rsidDel="0079464A">
          <w:fldChar w:fldCharType="separate"/>
        </w:r>
        <w:r w:rsidR="00AF4647" w:rsidRPr="00A1007F" w:rsidDel="0079464A">
          <w:rPr>
            <w:rStyle w:val="Hypertextovprepojenie"/>
            <w:rFonts w:asciiTheme="minorHAnsi" w:hAnsiTheme="minorHAnsi"/>
            <w:sz w:val="24"/>
            <w:szCs w:val="24"/>
          </w:rPr>
          <w:delText>www.eks.sk</w:delText>
        </w:r>
        <w:r w:rsidDel="0079464A">
          <w:rPr>
            <w:rStyle w:val="Hypertextovprepojenie"/>
            <w:rFonts w:asciiTheme="minorHAnsi" w:hAnsiTheme="minorHAnsi"/>
            <w:sz w:val="24"/>
            <w:szCs w:val="24"/>
          </w:rPr>
          <w:fldChar w:fldCharType="end"/>
        </w:r>
        <w:r w:rsidR="00AF4647" w:rsidRPr="00A1007F" w:rsidDel="0079464A">
          <w:rPr>
            <w:rFonts w:asciiTheme="minorHAnsi" w:hAnsiTheme="minorHAnsi"/>
            <w:sz w:val="24"/>
            <w:szCs w:val="24"/>
          </w:rPr>
          <w:delText>).</w:delText>
        </w:r>
      </w:del>
      <w:r w:rsidR="00AF4647" w:rsidRPr="00A1007F">
        <w:rPr>
          <w:rFonts w:asciiTheme="minorHAnsi" w:hAnsiTheme="minorHAnsi"/>
          <w:sz w:val="24"/>
          <w:szCs w:val="24"/>
        </w:rPr>
        <w:t xml:space="preserve"> V tomto prípade identifikuje </w:t>
      </w:r>
      <w:r w:rsidR="00AF4647"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="00AF4647"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="00AF4647"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</w:p>
    <w:p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ŽoNFP.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 je oprávnený overiť výšku výdavkov nárokovaných v ŽoNFP na základe žiadateľom vykonaného prieskumu trhu prostredníctvom vykonania svojho prieskumu trhu. V prípade, ak výška výdavkov nárokovaných žiadateľom v rozpočte ŽoNFP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footerReference w:type="default" r:id="rId13"/>
          <w:headerReference w:type="first" r:id="rId14"/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3231"/>
        <w:gridCol w:w="1148"/>
        <w:gridCol w:w="1701"/>
        <w:gridCol w:w="2254"/>
        <w:gridCol w:w="3402"/>
      </w:tblGrid>
      <w:tr w:rsidR="0007442F" w:rsidRPr="00A1007F" w:rsidTr="00D8571A">
        <w:tc>
          <w:tcPr>
            <w:tcW w:w="6492" w:type="dxa"/>
            <w:gridSpan w:val="2"/>
            <w:shd w:val="clear" w:color="auto" w:fill="F79646" w:themeFill="accent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</w:p>
        </w:tc>
      </w:tr>
      <w:tr w:rsidR="0007442F" w:rsidRPr="00A1007F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11 Zásoby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t>112 Zásoby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633004 Prevádzkové stroje, prístroje, zariadenie, 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633005 Špeciálne stroje, prístroje, zariadenie, </w:t>
            </w: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lastRenderedPageBreak/>
              <w:t xml:space="preserve">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EA4676" w:rsidRPr="00F04F29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  <w:r>
              <w:rPr>
                <w:rFonts w:asciiTheme="minorHAnsi" w:hAnsiTheme="minorHAnsi"/>
                <w:b/>
                <w:color w:val="365F91"/>
              </w:rPr>
              <w:lastRenderedPageBreak/>
              <w:t>35 Dotácie, príspevky a transfery</w:t>
            </w:r>
          </w:p>
        </w:tc>
        <w:tc>
          <w:tcPr>
            <w:tcW w:w="3231" w:type="dxa"/>
            <w:vMerge w:val="restart"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352 Poskytnutie dotácií, príspevkov voči tretím osobám</w:t>
            </w:r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600 bežné výdavky</w:t>
            </w:r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640 bežné transfery</w:t>
            </w:r>
          </w:p>
        </w:tc>
        <w:tc>
          <w:tcPr>
            <w:tcW w:w="2254" w:type="dxa"/>
          </w:tcPr>
          <w:p w:rsidR="00EA4676" w:rsidRPr="00A1007F" w:rsidRDefault="00EA4676" w:rsidP="00EA46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641 Transfery v rámci verejnej správy</w:t>
            </w:r>
          </w:p>
        </w:tc>
        <w:tc>
          <w:tcPr>
            <w:tcW w:w="3402" w:type="dxa"/>
          </w:tcPr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641010 Vyššiemu územnému celku</w:t>
            </w:r>
          </w:p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A4676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EA4676" w:rsidRPr="00A6156D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</w:p>
        </w:tc>
        <w:tc>
          <w:tcPr>
            <w:tcW w:w="3231" w:type="dxa"/>
            <w:vMerge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600 bežné výdavky</w:t>
            </w:r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640 bežné transfery</w:t>
            </w:r>
          </w:p>
        </w:tc>
        <w:tc>
          <w:tcPr>
            <w:tcW w:w="2254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649 Transfery  do zahraničia</w:t>
            </w:r>
          </w:p>
        </w:tc>
        <w:tc>
          <w:tcPr>
            <w:tcW w:w="3402" w:type="dxa"/>
          </w:tcPr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649003 Medzinárodnej organizácii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632003 Poštové služby a telekomunikačné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632004 Komunikačná infraštruktúra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636003 Špeciálnych strojov, prístrojov, 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lastRenderedPageBreak/>
              <w:t>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:rsidR="006A2DF0" w:rsidRPr="00A1007F" w:rsidRDefault="006A2DF0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sectPr w:rsidR="006A2DF0" w:rsidRPr="00A1007F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4A" w:rsidRDefault="0079464A" w:rsidP="00A94607">
      <w:pPr>
        <w:spacing w:after="0" w:line="240" w:lineRule="auto"/>
      </w:pPr>
      <w:r>
        <w:separator/>
      </w:r>
    </w:p>
  </w:endnote>
  <w:endnote w:type="continuationSeparator" w:id="0">
    <w:p w:rsidR="0079464A" w:rsidRDefault="0079464A" w:rsidP="00A9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6502"/>
      <w:docPartObj>
        <w:docPartGallery w:val="Page Numbers (Bottom of Page)"/>
        <w:docPartUnique/>
      </w:docPartObj>
    </w:sdtPr>
    <w:sdtEndPr/>
    <w:sdtContent>
      <w:p w:rsidR="0079464A" w:rsidRDefault="0079464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978">
          <w:rPr>
            <w:noProof/>
          </w:rPr>
          <w:t>1</w:t>
        </w:r>
        <w:r>
          <w:fldChar w:fldCharType="end"/>
        </w:r>
      </w:p>
    </w:sdtContent>
  </w:sdt>
  <w:p w:rsidR="0079464A" w:rsidRDefault="007946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4A" w:rsidRDefault="0079464A" w:rsidP="00A94607">
      <w:pPr>
        <w:spacing w:after="0" w:line="240" w:lineRule="auto"/>
      </w:pPr>
      <w:r>
        <w:separator/>
      </w:r>
    </w:p>
  </w:footnote>
  <w:footnote w:type="continuationSeparator" w:id="0">
    <w:p w:rsidR="0079464A" w:rsidRDefault="0079464A" w:rsidP="00A94607">
      <w:pPr>
        <w:spacing w:after="0" w:line="240" w:lineRule="auto"/>
      </w:pPr>
      <w:r>
        <w:continuationSeparator/>
      </w:r>
    </w:p>
  </w:footnote>
  <w:footnote w:id="1">
    <w:p w:rsidR="0079464A" w:rsidRPr="00297D87" w:rsidRDefault="0079464A" w:rsidP="00D81974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Nariadenie Európskeho parlamentu a Rady (EÚ, EURATOM) č. 966/2012 z 25. októbra 2012, o rozpočtových pravidlách, ktoré sa vzťahujú na všeobecný rozpočet Únie a zrušení nariadenia Rady (ES, Euratom) č. 1605/2002</w:t>
      </w:r>
    </w:p>
  </w:footnote>
  <w:footnote w:id="2">
    <w:p w:rsidR="0079464A" w:rsidRDefault="0079464A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Posúdenie bežnej obchodnej praxe je individuálne v závislosti od oblasti, kde sa plánujú využiť preddavkové platby, pričom ich využitie by malo byť v súlade s poctivým obchodným stykom</w:t>
      </w:r>
    </w:p>
  </w:footnote>
  <w:footnote w:id="3">
    <w:p w:rsidR="0079464A" w:rsidRDefault="0079464A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Vo vzťahu ku konečnému termínu oprávnenosti výdavkov môže byť táto lehota primerane skrátená s ohľadom na povinnosť ukončenia realizácie projektu v súvislosti s ukončením operačného programu</w:t>
      </w:r>
    </w:p>
  </w:footnote>
  <w:footnote w:id="4">
    <w:p w:rsidR="0079464A" w:rsidRPr="00297D87" w:rsidRDefault="0079464A" w:rsidP="00630CD8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Ďalej len „zákon o obmedzení platieb v hotovosti“.</w:t>
      </w:r>
    </w:p>
  </w:footnote>
  <w:footnote w:id="5">
    <w:p w:rsidR="0079464A" w:rsidRPr="00297D87" w:rsidRDefault="0079464A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Pre účely tejto Príručky sa odovzdávajúcim rozumie prijímateľ a príjemcom sa rozumie dodávateľ.</w:t>
      </w:r>
    </w:p>
  </w:footnote>
  <w:footnote w:id="6">
    <w:p w:rsidR="0079464A" w:rsidRPr="00297D87" w:rsidRDefault="0079464A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 zmysle </w:t>
      </w:r>
      <w:r w:rsidRPr="00297D87">
        <w:rPr>
          <w:rFonts w:ascii="Verdana" w:hAnsi="Verdana"/>
          <w:i/>
          <w:sz w:val="16"/>
          <w:szCs w:val="16"/>
        </w:rPr>
        <w:t>Metodického pokynu CKO č. 5 k určovaniu finančných opráv, ktoré má riadiaci orgán uplatňovať pri nedodržaní pravidiel a postupov verejného obstarávania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7">
    <w:p w:rsidR="0079464A" w:rsidRDefault="0079464A" w:rsidP="00D93863">
      <w:pPr>
        <w:pStyle w:val="Textpoznmkypodiarou"/>
        <w:jc w:val="both"/>
        <w:rPr>
          <w:ins w:id="37" w:author="Autor"/>
        </w:rPr>
      </w:pPr>
      <w:ins w:id="38" w:author="Autor">
        <w:r>
          <w:rPr>
            <w:rStyle w:val="Odkaznapoznmkupodiarou"/>
          </w:rPr>
          <w:footnoteRef/>
        </w:r>
        <w:r>
          <w:t>Samostatné hnuteľné veci, prípadne súbory hnuteľných vecí, ktoré majú samostatné technicko-ekonomické určenie, ktorých vstupná cena je vyššia ako 1 700 eur a prevádzkovo-technické funkcie dlhšie ako jeden rok a dlhodobý nehmotný majetok, ktorého vstupná cena je vyššia ako 2 400 eur a použiteľnosť alebo prevádzkovo-technické funkcie sú dlhšie ako jeden rok (podľa § 22 zákona č. 595/2003 Z. z. o dani z príjmov, ďalej len „zákon o dani z príjmov“). V prípadoch, kedy majetok nespĺňa podmienky ustanovené podľa zákona o dani z príjmov, ale prijímateľ sa rozhodol postupovať podľa osobitného predpisu a tento majetok sa vykazuje ako dlhodobý hmotný alebo nehmotný majetok v účtovníctve prijímateľa, tak sa na takýto majetok uplatňujú rovnaké podmienky uvedené v tejto príručke.</w:t>
        </w:r>
      </w:ins>
    </w:p>
  </w:footnote>
  <w:footnote w:id="8">
    <w:p w:rsidR="0079464A" w:rsidRPr="00297D87" w:rsidRDefault="0079464A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na výber dodávateľa hmotného a nehmotného majetku bude vy</w:t>
      </w:r>
      <w:r>
        <w:rPr>
          <w:rFonts w:ascii="Verdana" w:hAnsi="Verdana"/>
          <w:sz w:val="16"/>
          <w:szCs w:val="16"/>
        </w:rPr>
        <w:t>konané v súlade so zákonom o VO</w:t>
      </w:r>
    </w:p>
  </w:footnote>
  <w:footnote w:id="9">
    <w:p w:rsidR="0079464A" w:rsidRPr="00297D87" w:rsidRDefault="0079464A" w:rsidP="00984AE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V rámci OP TP sa jedná o oprávnené činnosti súvisiace s EŠIF</w:t>
      </w:r>
    </w:p>
  </w:footnote>
  <w:footnote w:id="10">
    <w:p w:rsidR="0079464A" w:rsidRPr="00297D87" w:rsidRDefault="0079464A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Pre účely tejto Príručky sa pod pojmom úväzok rozumie: pracovný pomer, dohody mimo pracovného pomeru a štátnozamestnanecký pomer.</w:t>
      </w:r>
    </w:p>
  </w:footnote>
  <w:footnote w:id="11">
    <w:p w:rsidR="0079464A" w:rsidRPr="00297D87" w:rsidDel="007A32B0" w:rsidRDefault="0079464A" w:rsidP="000B6EAA">
      <w:pPr>
        <w:pStyle w:val="Textpoznmkypodiarou"/>
        <w:jc w:val="both"/>
        <w:rPr>
          <w:del w:id="50" w:author="Autor"/>
          <w:rFonts w:ascii="Verdana" w:hAnsi="Verdana"/>
          <w:sz w:val="16"/>
          <w:szCs w:val="16"/>
        </w:rPr>
      </w:pPr>
      <w:del w:id="51" w:author="Autor">
        <w:r w:rsidRPr="00297D87" w:rsidDel="007A32B0">
          <w:rPr>
            <w:rStyle w:val="Odkaznapoznmkupodiarou"/>
            <w:rFonts w:ascii="Verdana" w:hAnsi="Verdana"/>
            <w:sz w:val="16"/>
            <w:szCs w:val="16"/>
          </w:rPr>
          <w:footnoteRef/>
        </w:r>
        <w:r w:rsidRPr="00297D87" w:rsidDel="007A32B0">
          <w:rPr>
            <w:rFonts w:ascii="Verdana" w:hAnsi="Verdana"/>
            <w:sz w:val="16"/>
            <w:szCs w:val="16"/>
          </w:rPr>
          <w:delText>Oprávnené sú príplatky v zmysle platnej legislatívy.</w:delText>
        </w:r>
      </w:del>
    </w:p>
  </w:footnote>
  <w:footnote w:id="12">
    <w:p w:rsidR="0079464A" w:rsidRPr="00297D87" w:rsidDel="007A32B0" w:rsidRDefault="0079464A" w:rsidP="000B6EAA">
      <w:pPr>
        <w:pStyle w:val="Textpoznmkypodiarou"/>
        <w:jc w:val="both"/>
        <w:rPr>
          <w:del w:id="55" w:author="Autor"/>
          <w:rFonts w:ascii="Verdana" w:hAnsi="Verdana"/>
          <w:sz w:val="16"/>
          <w:szCs w:val="16"/>
        </w:rPr>
      </w:pPr>
      <w:del w:id="56" w:author="Autor">
        <w:r w:rsidRPr="00297D87" w:rsidDel="007A32B0">
          <w:rPr>
            <w:rStyle w:val="Odkaznapoznmkupodiarou"/>
            <w:rFonts w:ascii="Verdana" w:hAnsi="Verdana"/>
            <w:sz w:val="16"/>
            <w:szCs w:val="16"/>
          </w:rPr>
          <w:footnoteRef/>
        </w:r>
        <w:r w:rsidRPr="00297D87" w:rsidDel="007A32B0">
          <w:rPr>
            <w:rFonts w:ascii="Verdana" w:hAnsi="Verdana"/>
            <w:sz w:val="16"/>
            <w:szCs w:val="16"/>
          </w:rPr>
          <w:delText>Oprávnené sú príplatky v zmysle platnej legislatívy.</w:delText>
        </w:r>
      </w:del>
    </w:p>
  </w:footnote>
  <w:footnote w:id="13">
    <w:p w:rsidR="0079464A" w:rsidRPr="00360B89" w:rsidRDefault="0079464A" w:rsidP="00312A59">
      <w:pPr>
        <w:pStyle w:val="Textpoznmkypodiarou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 xml:space="preserve">V prípade projektov technickej pomoci, ktoré v príslušnom časovom horizonte na seba nadväzujú (napr. ide o projekty TP s dĺžkou realizácie na jeden kalendárny rok)  sa primerane aplikuje predmetná požiadavka. </w:t>
      </w:r>
    </w:p>
  </w:footnote>
  <w:footnote w:id="14">
    <w:p w:rsidR="0079464A" w:rsidRPr="00297D87" w:rsidRDefault="0079464A" w:rsidP="003B15D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15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6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17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18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19">
    <w:p w:rsidR="0079464A" w:rsidRPr="00297D87" w:rsidRDefault="0079464A" w:rsidP="000B2ED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 oprávnený výdavok sa aj v prípade stravného poskytnutého dodávateľsky (na faktúru) považuje suma stravného, ktorá je v súlade s platným znením </w:t>
      </w:r>
      <w:r w:rsidRPr="00297D87">
        <w:rPr>
          <w:rFonts w:ascii="Verdana" w:hAnsi="Verdana"/>
          <w:i/>
          <w:iCs/>
          <w:sz w:val="16"/>
          <w:szCs w:val="16"/>
        </w:rPr>
        <w:t>Opatrenia Ministerstva práce, sociálnych vecí a rodiny SR o sumách stravného</w:t>
      </w:r>
      <w:r w:rsidRPr="00297D87">
        <w:rPr>
          <w:rFonts w:ascii="Verdana" w:hAnsi="Verdana"/>
          <w:sz w:val="16"/>
          <w:szCs w:val="16"/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20">
    <w:p w:rsidR="0079464A" w:rsidRDefault="0079464A">
      <w:pPr>
        <w:pStyle w:val="Textpoznmkypodiarou"/>
        <w:jc w:val="both"/>
        <w:pPrChange w:id="72" w:author="Autor">
          <w:pPr>
            <w:pStyle w:val="Textpoznmkypodiarou"/>
          </w:pPr>
        </w:pPrChange>
      </w:pPr>
      <w:ins w:id="73" w:author="Autor">
        <w:r>
          <w:rPr>
            <w:rStyle w:val="Odkaznapoznmkupodiarou"/>
          </w:rPr>
          <w:footnoteRef/>
        </w:r>
        <w:r>
          <w:t xml:space="preserve"> </w:t>
        </w:r>
        <w:r w:rsidRPr="00C12691">
          <w:rPr>
            <w:rFonts w:ascii="Verdana" w:hAnsi="Verdana"/>
            <w:sz w:val="16"/>
            <w:szCs w:val="16"/>
            <w:rPrChange w:id="74" w:author="Autor">
              <w:rPr/>
            </w:rPrChange>
          </w:rPr>
          <w:t>V prípade, ak nie je možné z časového hľadiska a dostupnosti verejnej dopravy použiť inú alternatívu považuje sa použitie taxi služby za oprávnené. Takýto prípad musí byť riadne odôvodniteľný.</w:t>
        </w:r>
      </w:ins>
    </w:p>
  </w:footnote>
  <w:footnote w:id="21">
    <w:p w:rsidR="0079464A" w:rsidRPr="00297D87" w:rsidRDefault="0079464A" w:rsidP="00104A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2">
    <w:p w:rsidR="0079464A" w:rsidRPr="00297D87" w:rsidRDefault="0079464A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služieb dodávateľov/poskytovateľov bude vykonané v súlade so zákonom o</w:t>
      </w:r>
      <w:r>
        <w:rPr>
          <w:rFonts w:ascii="Verdana" w:hAnsi="Verdana"/>
          <w:sz w:val="16"/>
          <w:szCs w:val="16"/>
        </w:rPr>
        <w:t> </w:t>
      </w:r>
      <w:r w:rsidRPr="00297D87">
        <w:rPr>
          <w:rFonts w:ascii="Verdana" w:hAnsi="Verdana"/>
          <w:sz w:val="16"/>
          <w:szCs w:val="16"/>
        </w:rPr>
        <w:t>VO</w:t>
      </w:r>
      <w:r>
        <w:rPr>
          <w:rFonts w:ascii="Verdana" w:hAnsi="Verdana"/>
          <w:sz w:val="16"/>
          <w:szCs w:val="16"/>
        </w:rPr>
        <w:t>.</w:t>
      </w:r>
    </w:p>
  </w:footnote>
  <w:footnote w:id="23">
    <w:p w:rsidR="0079464A" w:rsidRPr="00297D87" w:rsidRDefault="0079464A" w:rsidP="00D3707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peniaze/value for money“. Poskytovateľ ustanoví podmienky, za ktorých je možné uvedené služby považovať za oprávnené v relevantnom písomnom vyzvaní.</w:t>
      </w:r>
      <w:r w:rsidRPr="00297D87">
        <w:rPr>
          <w:rFonts w:ascii="Verdana" w:hAnsi="Verdana"/>
          <w:sz w:val="16"/>
          <w:szCs w:val="16"/>
        </w:rPr>
        <w:t xml:space="preserve"> </w:t>
      </w:r>
    </w:p>
  </w:footnote>
  <w:footnote w:id="24">
    <w:p w:rsidR="0079464A" w:rsidRPr="00297D87" w:rsidRDefault="0079464A" w:rsidP="003469C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Finančné limity </w:t>
      </w:r>
      <w:del w:id="75" w:author="Autor">
        <w:r w:rsidRPr="00297D87" w:rsidDel="00873B47">
          <w:rPr>
            <w:rFonts w:ascii="Verdana" w:hAnsi="Verdana"/>
            <w:sz w:val="16"/>
            <w:szCs w:val="16"/>
          </w:rPr>
          <w:delText xml:space="preserve">budú </w:delText>
        </w:r>
      </w:del>
      <w:ins w:id="76" w:author="Autor">
        <w:r>
          <w:rPr>
            <w:rFonts w:ascii="Verdana" w:hAnsi="Verdana"/>
            <w:sz w:val="16"/>
            <w:szCs w:val="16"/>
          </w:rPr>
          <w:t>môžu byť</w:t>
        </w:r>
        <w:r w:rsidRPr="00297D87">
          <w:rPr>
            <w:rFonts w:ascii="Verdana" w:hAnsi="Verdana"/>
            <w:sz w:val="16"/>
            <w:szCs w:val="16"/>
          </w:rPr>
          <w:t xml:space="preserve"> </w:t>
        </w:r>
      </w:ins>
      <w:r w:rsidRPr="00297D87">
        <w:rPr>
          <w:rFonts w:ascii="Verdana" w:hAnsi="Verdana"/>
          <w:sz w:val="16"/>
          <w:szCs w:val="16"/>
        </w:rPr>
        <w:t xml:space="preserve">zo strany poskytovateľa stanovené v relevantnom písomnom vyzvaní. </w:t>
      </w:r>
    </w:p>
  </w:footnote>
  <w:footnote w:id="25">
    <w:p w:rsidR="0079464A" w:rsidRPr="00360B89" w:rsidRDefault="0079464A" w:rsidP="0006464A">
      <w:pPr>
        <w:pStyle w:val="Textpoznmkypodiarou"/>
        <w:jc w:val="both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>Účastníkom sa rozumie fyzická osoba, ktorá sa zúčastní predmetného podujatia (môže ísť napr. o cieľovú skupinu, verejnosť, užívateľ).</w:t>
      </w:r>
    </w:p>
  </w:footnote>
  <w:footnote w:id="26">
    <w:p w:rsidR="0079464A" w:rsidRPr="00297D87" w:rsidRDefault="0079464A" w:rsidP="00F3655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297D87">
        <w:rPr>
          <w:rFonts w:ascii="Verdana" w:hAnsi="Verdana"/>
          <w:i/>
          <w:sz w:val="16"/>
          <w:szCs w:val="16"/>
        </w:rPr>
        <w:t>Manuáli pre informovanie a komunikáciu o OP TP (2014 - 2020)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27">
    <w:p w:rsidR="0079464A" w:rsidRPr="00201154" w:rsidRDefault="0079464A" w:rsidP="000329C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peniaze/value for money“. Poskytovateľ ustanoví podmienky, za ktorých je možné uvedené služby považovať za oprávnené v relevantnom písomnom vyzvaní.</w:t>
      </w:r>
    </w:p>
  </w:footnote>
  <w:footnote w:id="28">
    <w:p w:rsidR="0079464A" w:rsidRPr="00297D87" w:rsidRDefault="0079464A" w:rsidP="008853B9">
      <w:pPr>
        <w:pStyle w:val="Textpoznmkypodiarou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 Uvedené ustanovenia sa vzťahujú na výdavky uhrádzané na základe skutočne uhradených výdavkov a</w:t>
      </w:r>
      <w:r w:rsidRPr="00297D87">
        <w:rPr>
          <w:rFonts w:ascii="Verdana" w:hAnsi="Verdana"/>
          <w:sz w:val="16"/>
          <w:szCs w:val="16"/>
        </w:rPr>
        <w:t xml:space="preserve"> nevzťahuje sa na formu zjednodušené vykazovanie výdavkov.</w:t>
      </w:r>
    </w:p>
  </w:footnote>
  <w:footnote w:id="29">
    <w:p w:rsidR="0079464A" w:rsidRPr="00297D87" w:rsidRDefault="0079464A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by počas doby realizácie projektu došlo k poškodeniu,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30">
    <w:p w:rsidR="0079464A" w:rsidRPr="00297D87" w:rsidRDefault="0079464A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31">
    <w:p w:rsidR="0079464A" w:rsidRPr="00297D87" w:rsidRDefault="0079464A" w:rsidP="00DF483F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je dotknuté ustanovenie čl. 69 ods. 3 písm. a) všeobecného nariadenia.</w:t>
      </w:r>
    </w:p>
  </w:footnote>
  <w:footnote w:id="32">
    <w:p w:rsidR="0079464A" w:rsidRPr="00297D87" w:rsidRDefault="0079464A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3">
    <w:p w:rsidR="0079464A" w:rsidRPr="00297D87" w:rsidRDefault="0079464A" w:rsidP="00885DBB">
      <w:pPr>
        <w:pStyle w:val="Textpoznmkypodiarou"/>
        <w:jc w:val="both"/>
        <w:rPr>
          <w:rFonts w:ascii="Verdana" w:hAnsi="Verdana" w:cs="Times"/>
          <w:sz w:val="16"/>
          <w:szCs w:val="16"/>
        </w:rPr>
      </w:pPr>
      <w:r w:rsidRPr="00297D87">
        <w:rPr>
          <w:rFonts w:ascii="Verdana" w:hAnsi="Verdana"/>
          <w:sz w:val="16"/>
          <w:szCs w:val="16"/>
          <w:vertAlign w:val="superscript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 </w:t>
      </w:r>
    </w:p>
  </w:footnote>
  <w:footnote w:id="34">
    <w:p w:rsidR="0079464A" w:rsidRPr="00297D87" w:rsidRDefault="0079464A" w:rsidP="00B703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</w:t>
      </w:r>
    </w:p>
  </w:footnote>
  <w:footnote w:id="35">
    <w:p w:rsidR="0079464A" w:rsidRPr="00297D87" w:rsidRDefault="0079464A" w:rsidP="00885DB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uvedeného hmotného majetku do užívania.</w:t>
      </w:r>
    </w:p>
  </w:footnote>
  <w:footnote w:id="36">
    <w:p w:rsidR="0079464A" w:rsidRPr="00297D87" w:rsidRDefault="0079464A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Relevantné zložky mzdy vrátane pohyblivých zložiek (napr. osobné príplatky).</w:t>
      </w:r>
    </w:p>
  </w:footnote>
  <w:footnote w:id="37">
    <w:p w:rsidR="0079464A" w:rsidRPr="00297D87" w:rsidRDefault="0079464A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Patria sem mzdy, platy, odmeny, povinné odvody za zamestnávateľa ako aj povinné sociálne náklady - ošetrovné, PN.</w:t>
      </w:r>
    </w:p>
  </w:footnote>
  <w:footnote w:id="38">
    <w:p w:rsidR="0079464A" w:rsidRPr="00297D87" w:rsidRDefault="0079464A" w:rsidP="00F71F0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Uvedené neoprávnené výdavky nepredstavujú kompletný (konečný) zoznam. Poskytovateľ nemôže, vzhľadom na rozmanitosť aktivít realizovaných v rámci PO OP TP, identifikovať všetky neoprávnené výdavky, ktoré môžu v súvislosti s realizáciou projektov vzniknúť.</w:t>
      </w:r>
    </w:p>
  </w:footnote>
  <w:footnote w:id="39">
    <w:p w:rsidR="0079464A" w:rsidRPr="00297D87" w:rsidRDefault="0079464A" w:rsidP="00AF464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 úrovni projektu sa hospodárnosťou rozumie minimalizácia výdavkov nevyhnutých na realizáciu projektu pri rešpektovaní cieľov projektu.</w:t>
      </w:r>
    </w:p>
  </w:footnote>
  <w:footnote w:id="40">
    <w:p w:rsidR="0079464A" w:rsidRDefault="0079464A" w:rsidP="00186D1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RO si môže zvoliť aj iné pomocné nástroje na posúdenie zásady hospodárnosti, napr. osobitnú správu Európskeho dvora audítorov č. 22 dostupnú na webovej adrese: </w:t>
      </w:r>
      <w:hyperlink r:id="rId1" w:history="1">
        <w:r w:rsidRPr="00E4666A">
          <w:rPr>
            <w:rStyle w:val="Hypertextovprepojenie"/>
          </w:rPr>
          <w:t>http://www.eca.europa.eu/Lists/ECADocuments/SR14_22/SR14_22_EN.pdf</w:t>
        </w:r>
      </w:hyperlink>
      <w:r>
        <w:t xml:space="preserve">,  skúsenosti RO s predchádzajúceho obdobia implementácie </w:t>
      </w:r>
    </w:p>
  </w:footnote>
  <w:footnote w:id="41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ŽoNFP.</w:t>
      </w:r>
    </w:p>
  </w:footnote>
  <w:footnote w:id="42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43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44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45">
    <w:p w:rsidR="0079464A" w:rsidRPr="00297D87" w:rsidRDefault="0079464A" w:rsidP="00A02CE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 w:rsidRPr="00C12691">
        <w:rPr>
          <w:rPrChange w:id="87" w:author="Autor">
            <w:rPr>
              <w:rFonts w:ascii="Verdana" w:hAnsi="Verdana"/>
              <w:sz w:val="16"/>
              <w:szCs w:val="16"/>
            </w:rPr>
          </w:rPrChange>
        </w:rPr>
        <w:t>Súčasťou znaleckého posudku je prieskum trhu, vrátane 3 cenových ponúk (resp. znalecký posudok bude predložený ako súčasť prieskumu trhu, ktorým prijímateľ preukazuje hospodárnosť a efektívnosť výdavkov súvisiacich s prenájmom priestorov, vrátane služieb s ním súvisiacich)</w:t>
      </w:r>
    </w:p>
  </w:footnote>
  <w:footnote w:id="46">
    <w:p w:rsidR="0079464A" w:rsidRPr="00297D87" w:rsidRDefault="0079464A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4A" w:rsidRPr="00CF103E" w:rsidRDefault="0079464A" w:rsidP="007D4D76">
    <w:pPr>
      <w:pStyle w:val="Hlavika"/>
      <w:jc w:val="left"/>
    </w:pPr>
    <w:r>
      <w:t>Príloha č.1- Číselník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38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5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5"/>
  </w:num>
  <w:num w:numId="3">
    <w:abstractNumId w:val="34"/>
  </w:num>
  <w:num w:numId="4">
    <w:abstractNumId w:val="20"/>
  </w:num>
  <w:num w:numId="5">
    <w:abstractNumId w:val="15"/>
  </w:num>
  <w:num w:numId="6">
    <w:abstractNumId w:val="0"/>
  </w:num>
  <w:num w:numId="7">
    <w:abstractNumId w:val="33"/>
  </w:num>
  <w:num w:numId="8">
    <w:abstractNumId w:val="8"/>
  </w:num>
  <w:num w:numId="9">
    <w:abstractNumId w:val="18"/>
  </w:num>
  <w:num w:numId="10">
    <w:abstractNumId w:val="23"/>
  </w:num>
  <w:num w:numId="11">
    <w:abstractNumId w:val="21"/>
  </w:num>
  <w:num w:numId="12">
    <w:abstractNumId w:val="24"/>
  </w:num>
  <w:num w:numId="13">
    <w:abstractNumId w:val="12"/>
  </w:num>
  <w:num w:numId="14">
    <w:abstractNumId w:val="4"/>
  </w:num>
  <w:num w:numId="15">
    <w:abstractNumId w:val="9"/>
  </w:num>
  <w:num w:numId="16">
    <w:abstractNumId w:val="2"/>
  </w:num>
  <w:num w:numId="17">
    <w:abstractNumId w:val="44"/>
  </w:num>
  <w:num w:numId="18">
    <w:abstractNumId w:val="13"/>
  </w:num>
  <w:num w:numId="19">
    <w:abstractNumId w:val="46"/>
  </w:num>
  <w:num w:numId="20">
    <w:abstractNumId w:val="25"/>
  </w:num>
  <w:num w:numId="21">
    <w:abstractNumId w:val="38"/>
  </w:num>
  <w:num w:numId="22">
    <w:abstractNumId w:val="10"/>
  </w:num>
  <w:num w:numId="23">
    <w:abstractNumId w:val="27"/>
  </w:num>
  <w:num w:numId="24">
    <w:abstractNumId w:val="1"/>
  </w:num>
  <w:num w:numId="25">
    <w:abstractNumId w:val="36"/>
  </w:num>
  <w:num w:numId="26">
    <w:abstractNumId w:val="40"/>
  </w:num>
  <w:num w:numId="27">
    <w:abstractNumId w:val="19"/>
  </w:num>
  <w:num w:numId="28">
    <w:abstractNumId w:val="3"/>
  </w:num>
  <w:num w:numId="29">
    <w:abstractNumId w:val="17"/>
  </w:num>
  <w:num w:numId="30">
    <w:abstractNumId w:val="30"/>
  </w:num>
  <w:num w:numId="31">
    <w:abstractNumId w:val="5"/>
  </w:num>
  <w:num w:numId="32">
    <w:abstractNumId w:val="42"/>
  </w:num>
  <w:num w:numId="33">
    <w:abstractNumId w:val="6"/>
  </w:num>
  <w:num w:numId="34">
    <w:abstractNumId w:val="43"/>
  </w:num>
  <w:num w:numId="35">
    <w:abstractNumId w:val="39"/>
  </w:num>
  <w:num w:numId="36">
    <w:abstractNumId w:val="28"/>
  </w:num>
  <w:num w:numId="37">
    <w:abstractNumId w:val="29"/>
  </w:num>
  <w:num w:numId="38">
    <w:abstractNumId w:val="7"/>
  </w:num>
  <w:num w:numId="39">
    <w:abstractNumId w:val="14"/>
  </w:num>
  <w:num w:numId="40">
    <w:abstractNumId w:val="16"/>
  </w:num>
  <w:num w:numId="41">
    <w:abstractNumId w:val="41"/>
  </w:num>
  <w:num w:numId="42">
    <w:abstractNumId w:val="32"/>
  </w:num>
  <w:num w:numId="43">
    <w:abstractNumId w:val="31"/>
  </w:num>
  <w:num w:numId="44">
    <w:abstractNumId w:val="35"/>
  </w:num>
  <w:num w:numId="45">
    <w:abstractNumId w:val="11"/>
  </w:num>
  <w:num w:numId="46">
    <w:abstractNumId w:val="26"/>
  </w:num>
  <w:num w:numId="4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C4"/>
    <w:rsid w:val="000012E8"/>
    <w:rsid w:val="0000189C"/>
    <w:rsid w:val="00002B7D"/>
    <w:rsid w:val="00012B04"/>
    <w:rsid w:val="0002218C"/>
    <w:rsid w:val="000239D3"/>
    <w:rsid w:val="00025C18"/>
    <w:rsid w:val="000329CF"/>
    <w:rsid w:val="00042E56"/>
    <w:rsid w:val="00043654"/>
    <w:rsid w:val="00051144"/>
    <w:rsid w:val="00053B22"/>
    <w:rsid w:val="00055208"/>
    <w:rsid w:val="0005529D"/>
    <w:rsid w:val="000552DB"/>
    <w:rsid w:val="0005628B"/>
    <w:rsid w:val="0005750A"/>
    <w:rsid w:val="00057640"/>
    <w:rsid w:val="0006464A"/>
    <w:rsid w:val="00071374"/>
    <w:rsid w:val="00071A00"/>
    <w:rsid w:val="00071BFB"/>
    <w:rsid w:val="00072879"/>
    <w:rsid w:val="00072AD5"/>
    <w:rsid w:val="0007442F"/>
    <w:rsid w:val="00075DE7"/>
    <w:rsid w:val="000774CB"/>
    <w:rsid w:val="00081232"/>
    <w:rsid w:val="000825DA"/>
    <w:rsid w:val="0008651E"/>
    <w:rsid w:val="00087148"/>
    <w:rsid w:val="000927A2"/>
    <w:rsid w:val="00093744"/>
    <w:rsid w:val="00094D45"/>
    <w:rsid w:val="000956AA"/>
    <w:rsid w:val="00096581"/>
    <w:rsid w:val="00096A48"/>
    <w:rsid w:val="000A2408"/>
    <w:rsid w:val="000A2C5F"/>
    <w:rsid w:val="000B05F6"/>
    <w:rsid w:val="000B0D7F"/>
    <w:rsid w:val="000B2AB8"/>
    <w:rsid w:val="000B2ED7"/>
    <w:rsid w:val="000B6EAA"/>
    <w:rsid w:val="000C2711"/>
    <w:rsid w:val="000D0EA8"/>
    <w:rsid w:val="000D2706"/>
    <w:rsid w:val="000D362E"/>
    <w:rsid w:val="000D577E"/>
    <w:rsid w:val="000D6279"/>
    <w:rsid w:val="000E0048"/>
    <w:rsid w:val="000E438A"/>
    <w:rsid w:val="000F0F2A"/>
    <w:rsid w:val="000F0FEB"/>
    <w:rsid w:val="000F4A8E"/>
    <w:rsid w:val="000F5257"/>
    <w:rsid w:val="00103731"/>
    <w:rsid w:val="00104A14"/>
    <w:rsid w:val="00107821"/>
    <w:rsid w:val="001113D3"/>
    <w:rsid w:val="00111585"/>
    <w:rsid w:val="00112D44"/>
    <w:rsid w:val="0012054A"/>
    <w:rsid w:val="001227F7"/>
    <w:rsid w:val="00126242"/>
    <w:rsid w:val="0012768C"/>
    <w:rsid w:val="00132FE0"/>
    <w:rsid w:val="00134833"/>
    <w:rsid w:val="00135582"/>
    <w:rsid w:val="0014196B"/>
    <w:rsid w:val="00141B5B"/>
    <w:rsid w:val="001428E4"/>
    <w:rsid w:val="00143FE5"/>
    <w:rsid w:val="001532B1"/>
    <w:rsid w:val="001536BE"/>
    <w:rsid w:val="00154EFD"/>
    <w:rsid w:val="001556B0"/>
    <w:rsid w:val="00156309"/>
    <w:rsid w:val="00163658"/>
    <w:rsid w:val="00164646"/>
    <w:rsid w:val="00170363"/>
    <w:rsid w:val="00170B27"/>
    <w:rsid w:val="0017285F"/>
    <w:rsid w:val="001738D1"/>
    <w:rsid w:val="001761DE"/>
    <w:rsid w:val="00180715"/>
    <w:rsid w:val="0018099E"/>
    <w:rsid w:val="001824E0"/>
    <w:rsid w:val="001828FD"/>
    <w:rsid w:val="00183C88"/>
    <w:rsid w:val="0018410B"/>
    <w:rsid w:val="00185047"/>
    <w:rsid w:val="00185572"/>
    <w:rsid w:val="00185787"/>
    <w:rsid w:val="00186D11"/>
    <w:rsid w:val="001931E3"/>
    <w:rsid w:val="0019398E"/>
    <w:rsid w:val="00194F37"/>
    <w:rsid w:val="001A0985"/>
    <w:rsid w:val="001A50BC"/>
    <w:rsid w:val="001A5FBA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2363"/>
    <w:rsid w:val="001F29AF"/>
    <w:rsid w:val="001F3B44"/>
    <w:rsid w:val="00200222"/>
    <w:rsid w:val="00201154"/>
    <w:rsid w:val="0020236F"/>
    <w:rsid w:val="00205604"/>
    <w:rsid w:val="00210F3B"/>
    <w:rsid w:val="00211597"/>
    <w:rsid w:val="002119BB"/>
    <w:rsid w:val="002122F6"/>
    <w:rsid w:val="00212C4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F0B"/>
    <w:rsid w:val="0024321A"/>
    <w:rsid w:val="00243F4F"/>
    <w:rsid w:val="00245BE5"/>
    <w:rsid w:val="00252C6F"/>
    <w:rsid w:val="0025632E"/>
    <w:rsid w:val="00257CFE"/>
    <w:rsid w:val="002621E1"/>
    <w:rsid w:val="0026256F"/>
    <w:rsid w:val="00264067"/>
    <w:rsid w:val="00265F96"/>
    <w:rsid w:val="002744B3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630"/>
    <w:rsid w:val="002B4E00"/>
    <w:rsid w:val="002B6E98"/>
    <w:rsid w:val="002C1BB2"/>
    <w:rsid w:val="002C1DF5"/>
    <w:rsid w:val="002C4F2B"/>
    <w:rsid w:val="002D0A41"/>
    <w:rsid w:val="002D1175"/>
    <w:rsid w:val="002E1081"/>
    <w:rsid w:val="002E2D50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11DE2"/>
    <w:rsid w:val="00312A59"/>
    <w:rsid w:val="003131D0"/>
    <w:rsid w:val="00320105"/>
    <w:rsid w:val="00323794"/>
    <w:rsid w:val="00331723"/>
    <w:rsid w:val="00333738"/>
    <w:rsid w:val="0033412B"/>
    <w:rsid w:val="00335784"/>
    <w:rsid w:val="00336071"/>
    <w:rsid w:val="00336EA6"/>
    <w:rsid w:val="00341A75"/>
    <w:rsid w:val="0034314E"/>
    <w:rsid w:val="003462A2"/>
    <w:rsid w:val="003469CA"/>
    <w:rsid w:val="0034758D"/>
    <w:rsid w:val="00351385"/>
    <w:rsid w:val="003521BB"/>
    <w:rsid w:val="00357738"/>
    <w:rsid w:val="00360B89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6C17"/>
    <w:rsid w:val="003A0652"/>
    <w:rsid w:val="003A1447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D112F"/>
    <w:rsid w:val="003D135C"/>
    <w:rsid w:val="003E4967"/>
    <w:rsid w:val="003E55CC"/>
    <w:rsid w:val="003E60B7"/>
    <w:rsid w:val="003F15EC"/>
    <w:rsid w:val="003F19B9"/>
    <w:rsid w:val="003F2030"/>
    <w:rsid w:val="003F2C93"/>
    <w:rsid w:val="003F5214"/>
    <w:rsid w:val="003F6B80"/>
    <w:rsid w:val="00400D76"/>
    <w:rsid w:val="00407FED"/>
    <w:rsid w:val="00414DE7"/>
    <w:rsid w:val="004165C0"/>
    <w:rsid w:val="00417711"/>
    <w:rsid w:val="00421E77"/>
    <w:rsid w:val="0042490E"/>
    <w:rsid w:val="00434FB5"/>
    <w:rsid w:val="00436C0C"/>
    <w:rsid w:val="00436C8C"/>
    <w:rsid w:val="00436F85"/>
    <w:rsid w:val="0043734E"/>
    <w:rsid w:val="00445B43"/>
    <w:rsid w:val="00445F87"/>
    <w:rsid w:val="00447C41"/>
    <w:rsid w:val="00470BF0"/>
    <w:rsid w:val="00470DEA"/>
    <w:rsid w:val="00471304"/>
    <w:rsid w:val="00471E07"/>
    <w:rsid w:val="0047255A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7C2"/>
    <w:rsid w:val="004B76C6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FF2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3420"/>
    <w:rsid w:val="005774E3"/>
    <w:rsid w:val="0058051F"/>
    <w:rsid w:val="00581647"/>
    <w:rsid w:val="005831CE"/>
    <w:rsid w:val="005849A3"/>
    <w:rsid w:val="00586208"/>
    <w:rsid w:val="0059124B"/>
    <w:rsid w:val="0059276D"/>
    <w:rsid w:val="00592972"/>
    <w:rsid w:val="00594365"/>
    <w:rsid w:val="00594718"/>
    <w:rsid w:val="005A59B3"/>
    <w:rsid w:val="005B07F0"/>
    <w:rsid w:val="005B407C"/>
    <w:rsid w:val="005B4EDE"/>
    <w:rsid w:val="005B5EA3"/>
    <w:rsid w:val="005B6C70"/>
    <w:rsid w:val="005B78FB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F13F9"/>
    <w:rsid w:val="005F2B86"/>
    <w:rsid w:val="005F3584"/>
    <w:rsid w:val="005F480B"/>
    <w:rsid w:val="00606DA4"/>
    <w:rsid w:val="00621CF3"/>
    <w:rsid w:val="0062264E"/>
    <w:rsid w:val="00622B02"/>
    <w:rsid w:val="006235C5"/>
    <w:rsid w:val="00624B0E"/>
    <w:rsid w:val="00627194"/>
    <w:rsid w:val="00630CD8"/>
    <w:rsid w:val="00636671"/>
    <w:rsid w:val="00637C9D"/>
    <w:rsid w:val="006412E3"/>
    <w:rsid w:val="006426B8"/>
    <w:rsid w:val="006432DB"/>
    <w:rsid w:val="00643DE8"/>
    <w:rsid w:val="0064590D"/>
    <w:rsid w:val="00655DCB"/>
    <w:rsid w:val="00665AB3"/>
    <w:rsid w:val="006672ED"/>
    <w:rsid w:val="006701A4"/>
    <w:rsid w:val="00670EF6"/>
    <w:rsid w:val="00672494"/>
    <w:rsid w:val="00675147"/>
    <w:rsid w:val="0067523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7DF7"/>
    <w:rsid w:val="006C1101"/>
    <w:rsid w:val="006C42A5"/>
    <w:rsid w:val="006C7B9D"/>
    <w:rsid w:val="006C7FC1"/>
    <w:rsid w:val="006D0BF1"/>
    <w:rsid w:val="006D23EA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70018C"/>
    <w:rsid w:val="00702855"/>
    <w:rsid w:val="00703F95"/>
    <w:rsid w:val="0071059C"/>
    <w:rsid w:val="0071221A"/>
    <w:rsid w:val="0071229B"/>
    <w:rsid w:val="007124F1"/>
    <w:rsid w:val="00714439"/>
    <w:rsid w:val="00715ED0"/>
    <w:rsid w:val="00716FD9"/>
    <w:rsid w:val="007246CC"/>
    <w:rsid w:val="00724D4A"/>
    <w:rsid w:val="007278BA"/>
    <w:rsid w:val="00732BAE"/>
    <w:rsid w:val="007377C8"/>
    <w:rsid w:val="007433F0"/>
    <w:rsid w:val="00745CAF"/>
    <w:rsid w:val="00745D14"/>
    <w:rsid w:val="00745E68"/>
    <w:rsid w:val="007541E2"/>
    <w:rsid w:val="00755480"/>
    <w:rsid w:val="00756669"/>
    <w:rsid w:val="00756C26"/>
    <w:rsid w:val="0075756E"/>
    <w:rsid w:val="0076064C"/>
    <w:rsid w:val="00760D7A"/>
    <w:rsid w:val="007618ED"/>
    <w:rsid w:val="00761FBE"/>
    <w:rsid w:val="00770275"/>
    <w:rsid w:val="00772351"/>
    <w:rsid w:val="0077731A"/>
    <w:rsid w:val="00777AAE"/>
    <w:rsid w:val="00782A95"/>
    <w:rsid w:val="00784A38"/>
    <w:rsid w:val="00786B52"/>
    <w:rsid w:val="00787F2F"/>
    <w:rsid w:val="0079025B"/>
    <w:rsid w:val="0079218A"/>
    <w:rsid w:val="00793A22"/>
    <w:rsid w:val="0079464A"/>
    <w:rsid w:val="00797DD0"/>
    <w:rsid w:val="007A2856"/>
    <w:rsid w:val="007A32B0"/>
    <w:rsid w:val="007B2D1D"/>
    <w:rsid w:val="007B6B69"/>
    <w:rsid w:val="007B71D0"/>
    <w:rsid w:val="007B79BE"/>
    <w:rsid w:val="007B7AE2"/>
    <w:rsid w:val="007C055F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2038C"/>
    <w:rsid w:val="008222CE"/>
    <w:rsid w:val="0082275C"/>
    <w:rsid w:val="008236A9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2B6B"/>
    <w:rsid w:val="0086302E"/>
    <w:rsid w:val="008643BE"/>
    <w:rsid w:val="0086622B"/>
    <w:rsid w:val="008723E0"/>
    <w:rsid w:val="00873B47"/>
    <w:rsid w:val="00873FE1"/>
    <w:rsid w:val="0087457B"/>
    <w:rsid w:val="00876BFE"/>
    <w:rsid w:val="00876E71"/>
    <w:rsid w:val="0087751C"/>
    <w:rsid w:val="00877A70"/>
    <w:rsid w:val="0088374D"/>
    <w:rsid w:val="0088389E"/>
    <w:rsid w:val="008853B9"/>
    <w:rsid w:val="00885DBB"/>
    <w:rsid w:val="00886C51"/>
    <w:rsid w:val="008909DF"/>
    <w:rsid w:val="00892B9F"/>
    <w:rsid w:val="008946F6"/>
    <w:rsid w:val="00897F29"/>
    <w:rsid w:val="008A1DFB"/>
    <w:rsid w:val="008A2983"/>
    <w:rsid w:val="008A5439"/>
    <w:rsid w:val="008A7E07"/>
    <w:rsid w:val="008B0FD2"/>
    <w:rsid w:val="008B158A"/>
    <w:rsid w:val="008B16A2"/>
    <w:rsid w:val="008B381A"/>
    <w:rsid w:val="008B5ED6"/>
    <w:rsid w:val="008B74B1"/>
    <w:rsid w:val="008C21C9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4B38"/>
    <w:rsid w:val="00905EC4"/>
    <w:rsid w:val="009107F6"/>
    <w:rsid w:val="0091157D"/>
    <w:rsid w:val="00915FAA"/>
    <w:rsid w:val="00916E82"/>
    <w:rsid w:val="00923664"/>
    <w:rsid w:val="00925714"/>
    <w:rsid w:val="00926594"/>
    <w:rsid w:val="00930902"/>
    <w:rsid w:val="00935C40"/>
    <w:rsid w:val="00936C3E"/>
    <w:rsid w:val="00937755"/>
    <w:rsid w:val="00940A5B"/>
    <w:rsid w:val="0094271F"/>
    <w:rsid w:val="00942E84"/>
    <w:rsid w:val="00942F0C"/>
    <w:rsid w:val="00953FCB"/>
    <w:rsid w:val="009551E3"/>
    <w:rsid w:val="00956B8C"/>
    <w:rsid w:val="00956C87"/>
    <w:rsid w:val="00973E04"/>
    <w:rsid w:val="00984AE8"/>
    <w:rsid w:val="0098586A"/>
    <w:rsid w:val="00987144"/>
    <w:rsid w:val="00991391"/>
    <w:rsid w:val="009936F4"/>
    <w:rsid w:val="0099545B"/>
    <w:rsid w:val="009A32CB"/>
    <w:rsid w:val="009A47D2"/>
    <w:rsid w:val="009B06E0"/>
    <w:rsid w:val="009B1E9D"/>
    <w:rsid w:val="009B235D"/>
    <w:rsid w:val="009B2C4F"/>
    <w:rsid w:val="009B5E2F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1D6E"/>
    <w:rsid w:val="009F2050"/>
    <w:rsid w:val="009F2CFA"/>
    <w:rsid w:val="009F54A5"/>
    <w:rsid w:val="00A016EB"/>
    <w:rsid w:val="00A02CEC"/>
    <w:rsid w:val="00A03AC1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4131"/>
    <w:rsid w:val="00A363AC"/>
    <w:rsid w:val="00A37B42"/>
    <w:rsid w:val="00A40DDB"/>
    <w:rsid w:val="00A4133B"/>
    <w:rsid w:val="00A4255A"/>
    <w:rsid w:val="00A42712"/>
    <w:rsid w:val="00A4435C"/>
    <w:rsid w:val="00A526B3"/>
    <w:rsid w:val="00A603BC"/>
    <w:rsid w:val="00A6156D"/>
    <w:rsid w:val="00A61BA8"/>
    <w:rsid w:val="00A637C2"/>
    <w:rsid w:val="00A646A0"/>
    <w:rsid w:val="00A66321"/>
    <w:rsid w:val="00A675AE"/>
    <w:rsid w:val="00A72BBA"/>
    <w:rsid w:val="00A74878"/>
    <w:rsid w:val="00A75B8A"/>
    <w:rsid w:val="00A8259F"/>
    <w:rsid w:val="00A839B4"/>
    <w:rsid w:val="00A84969"/>
    <w:rsid w:val="00A84D65"/>
    <w:rsid w:val="00A87FCD"/>
    <w:rsid w:val="00A9380D"/>
    <w:rsid w:val="00A944FD"/>
    <w:rsid w:val="00A94607"/>
    <w:rsid w:val="00A968E5"/>
    <w:rsid w:val="00AA001E"/>
    <w:rsid w:val="00AA204F"/>
    <w:rsid w:val="00AA2899"/>
    <w:rsid w:val="00AA5B43"/>
    <w:rsid w:val="00AB1A97"/>
    <w:rsid w:val="00AB71AC"/>
    <w:rsid w:val="00AC11D6"/>
    <w:rsid w:val="00AC1917"/>
    <w:rsid w:val="00AC24ED"/>
    <w:rsid w:val="00AC7DD1"/>
    <w:rsid w:val="00AD0EFA"/>
    <w:rsid w:val="00AD47DF"/>
    <w:rsid w:val="00AD638D"/>
    <w:rsid w:val="00AE049F"/>
    <w:rsid w:val="00AE062C"/>
    <w:rsid w:val="00AE7D65"/>
    <w:rsid w:val="00AF4647"/>
    <w:rsid w:val="00AF4A4A"/>
    <w:rsid w:val="00B0571D"/>
    <w:rsid w:val="00B0666B"/>
    <w:rsid w:val="00B101B4"/>
    <w:rsid w:val="00B10575"/>
    <w:rsid w:val="00B1383E"/>
    <w:rsid w:val="00B13B3B"/>
    <w:rsid w:val="00B13E6C"/>
    <w:rsid w:val="00B14400"/>
    <w:rsid w:val="00B147E9"/>
    <w:rsid w:val="00B147F1"/>
    <w:rsid w:val="00B165D9"/>
    <w:rsid w:val="00B1690C"/>
    <w:rsid w:val="00B22279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5AD7"/>
    <w:rsid w:val="00B83DE1"/>
    <w:rsid w:val="00B852B2"/>
    <w:rsid w:val="00B877A1"/>
    <w:rsid w:val="00B9092C"/>
    <w:rsid w:val="00B91DBF"/>
    <w:rsid w:val="00B951BE"/>
    <w:rsid w:val="00B95B29"/>
    <w:rsid w:val="00BA1ED4"/>
    <w:rsid w:val="00BA2554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E7345"/>
    <w:rsid w:val="00BE7477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7937"/>
    <w:rsid w:val="00C10F8E"/>
    <w:rsid w:val="00C12691"/>
    <w:rsid w:val="00C12CA1"/>
    <w:rsid w:val="00C15540"/>
    <w:rsid w:val="00C20D10"/>
    <w:rsid w:val="00C243EA"/>
    <w:rsid w:val="00C2484B"/>
    <w:rsid w:val="00C3276B"/>
    <w:rsid w:val="00C33DEE"/>
    <w:rsid w:val="00C36213"/>
    <w:rsid w:val="00C44714"/>
    <w:rsid w:val="00C46CFB"/>
    <w:rsid w:val="00C47060"/>
    <w:rsid w:val="00C47088"/>
    <w:rsid w:val="00C523E1"/>
    <w:rsid w:val="00C54336"/>
    <w:rsid w:val="00C55837"/>
    <w:rsid w:val="00C55CEB"/>
    <w:rsid w:val="00C657FE"/>
    <w:rsid w:val="00C665B3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7CA5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5F97"/>
    <w:rsid w:val="00D00BCD"/>
    <w:rsid w:val="00D01ABD"/>
    <w:rsid w:val="00D01E4A"/>
    <w:rsid w:val="00D032F7"/>
    <w:rsid w:val="00D0794D"/>
    <w:rsid w:val="00D07C25"/>
    <w:rsid w:val="00D07C28"/>
    <w:rsid w:val="00D11EBE"/>
    <w:rsid w:val="00D14E02"/>
    <w:rsid w:val="00D1770C"/>
    <w:rsid w:val="00D21A9B"/>
    <w:rsid w:val="00D32565"/>
    <w:rsid w:val="00D340C2"/>
    <w:rsid w:val="00D350E1"/>
    <w:rsid w:val="00D35F02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53C8"/>
    <w:rsid w:val="00D5555C"/>
    <w:rsid w:val="00D567E1"/>
    <w:rsid w:val="00D56916"/>
    <w:rsid w:val="00D605A7"/>
    <w:rsid w:val="00D6102E"/>
    <w:rsid w:val="00D637CF"/>
    <w:rsid w:val="00D70645"/>
    <w:rsid w:val="00D71CB6"/>
    <w:rsid w:val="00D729D4"/>
    <w:rsid w:val="00D75263"/>
    <w:rsid w:val="00D771FA"/>
    <w:rsid w:val="00D81974"/>
    <w:rsid w:val="00D8571A"/>
    <w:rsid w:val="00D86B2C"/>
    <w:rsid w:val="00D91CB1"/>
    <w:rsid w:val="00D93863"/>
    <w:rsid w:val="00D97E64"/>
    <w:rsid w:val="00DA047D"/>
    <w:rsid w:val="00DA1BF3"/>
    <w:rsid w:val="00DA3C90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483F"/>
    <w:rsid w:val="00DF7EF0"/>
    <w:rsid w:val="00E00080"/>
    <w:rsid w:val="00E03C57"/>
    <w:rsid w:val="00E04C6C"/>
    <w:rsid w:val="00E04FF1"/>
    <w:rsid w:val="00E05D49"/>
    <w:rsid w:val="00E075C7"/>
    <w:rsid w:val="00E07AFA"/>
    <w:rsid w:val="00E1173C"/>
    <w:rsid w:val="00E11F14"/>
    <w:rsid w:val="00E16C5B"/>
    <w:rsid w:val="00E20657"/>
    <w:rsid w:val="00E231C8"/>
    <w:rsid w:val="00E258D8"/>
    <w:rsid w:val="00E27C38"/>
    <w:rsid w:val="00E338AB"/>
    <w:rsid w:val="00E364A5"/>
    <w:rsid w:val="00E3765B"/>
    <w:rsid w:val="00E40A90"/>
    <w:rsid w:val="00E45CE1"/>
    <w:rsid w:val="00E5432A"/>
    <w:rsid w:val="00E55C87"/>
    <w:rsid w:val="00E56978"/>
    <w:rsid w:val="00E61C90"/>
    <w:rsid w:val="00E64516"/>
    <w:rsid w:val="00E67E59"/>
    <w:rsid w:val="00E7339E"/>
    <w:rsid w:val="00E74765"/>
    <w:rsid w:val="00E80587"/>
    <w:rsid w:val="00E82C6E"/>
    <w:rsid w:val="00E83EC6"/>
    <w:rsid w:val="00E86133"/>
    <w:rsid w:val="00E87544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4676"/>
    <w:rsid w:val="00EA7187"/>
    <w:rsid w:val="00EB605E"/>
    <w:rsid w:val="00EC0BF3"/>
    <w:rsid w:val="00EC442D"/>
    <w:rsid w:val="00EC728D"/>
    <w:rsid w:val="00EC7EFD"/>
    <w:rsid w:val="00ED6D18"/>
    <w:rsid w:val="00ED7FB6"/>
    <w:rsid w:val="00EE0274"/>
    <w:rsid w:val="00EE1887"/>
    <w:rsid w:val="00EF165A"/>
    <w:rsid w:val="00EF4488"/>
    <w:rsid w:val="00F02627"/>
    <w:rsid w:val="00F04F29"/>
    <w:rsid w:val="00F069C0"/>
    <w:rsid w:val="00F123EB"/>
    <w:rsid w:val="00F243DE"/>
    <w:rsid w:val="00F255E2"/>
    <w:rsid w:val="00F267AD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30B4"/>
    <w:rsid w:val="00F83F69"/>
    <w:rsid w:val="00F868A6"/>
    <w:rsid w:val="00F8799E"/>
    <w:rsid w:val="00F9041B"/>
    <w:rsid w:val="00F904E0"/>
    <w:rsid w:val="00FA0F5B"/>
    <w:rsid w:val="00FA6711"/>
    <w:rsid w:val="00FA6721"/>
    <w:rsid w:val="00FB0D33"/>
    <w:rsid w:val="00FC0FC6"/>
    <w:rsid w:val="00FC1A14"/>
    <w:rsid w:val="00FC25F2"/>
    <w:rsid w:val="00FC3320"/>
    <w:rsid w:val="00FC4B54"/>
    <w:rsid w:val="00FC4EB7"/>
    <w:rsid w:val="00FC7647"/>
    <w:rsid w:val="00FD096D"/>
    <w:rsid w:val="00FD55C7"/>
    <w:rsid w:val="00FE2F06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a.europa.eu/Lists/ECADocuments/SR14_22/SR14_22_EN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B60C-F996-4A6D-99BB-59987268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9354</Words>
  <Characters>53324</Characters>
  <Application>Microsoft Office Word</Application>
  <DocSecurity>0</DocSecurity>
  <Lines>444</Lines>
  <Paragraphs>125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2017-02-23T08:32:00Z</dcterms:created>
  <dcterms:modified xsi:type="dcterms:W3CDTF">2017-05-04T11:20:00Z</dcterms:modified>
</cp:coreProperties>
</file>