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3D0F3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15061" w:rsidRPr="002B3A70">
        <w:rPr>
          <w:rFonts w:ascii="Times New Roman" w:hAnsi="Times New Roman"/>
        </w:rPr>
        <w:t>OPTP-P</w:t>
      </w:r>
      <w:r w:rsidR="00215061">
        <w:rPr>
          <w:rFonts w:ascii="Times New Roman" w:hAnsi="Times New Roman"/>
        </w:rPr>
        <w:t>O2</w:t>
      </w:r>
      <w:r w:rsidR="00215061" w:rsidRPr="002B3A70">
        <w:rPr>
          <w:rFonts w:ascii="Times New Roman" w:hAnsi="Times New Roman"/>
        </w:rPr>
        <w:t>-SC</w:t>
      </w:r>
      <w:r w:rsidR="00215061">
        <w:rPr>
          <w:rFonts w:ascii="Times New Roman" w:hAnsi="Times New Roman"/>
        </w:rPr>
        <w:t>1</w:t>
      </w:r>
      <w:r w:rsidR="00215061" w:rsidRPr="002B3A70">
        <w:rPr>
          <w:rFonts w:ascii="Times New Roman" w:hAnsi="Times New Roman"/>
        </w:rPr>
        <w:t>-201</w:t>
      </w:r>
      <w:r w:rsidR="00215061">
        <w:rPr>
          <w:rFonts w:ascii="Times New Roman" w:hAnsi="Times New Roman"/>
        </w:rPr>
        <w:t>7</w:t>
      </w:r>
      <w:r w:rsidR="00215061" w:rsidRPr="002B3A70">
        <w:rPr>
          <w:rFonts w:ascii="Times New Roman" w:hAnsi="Times New Roman"/>
        </w:rPr>
        <w:t>-</w:t>
      </w:r>
      <w:r w:rsidR="00215061">
        <w:rPr>
          <w:rFonts w:ascii="Times New Roman" w:hAnsi="Times New Roman"/>
        </w:rPr>
        <w:t>13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215061" w:rsidRPr="00215061">
        <w:rPr>
          <w:bCs/>
          <w:sz w:val="24"/>
          <w:szCs w:val="24"/>
        </w:rPr>
        <w:t>OPTP-PO2-SC1-2017-13</w:t>
      </w:r>
      <w:r w:rsidR="003D0F32">
        <w:rPr>
          <w:bCs/>
          <w:sz w:val="24"/>
          <w:szCs w:val="24"/>
        </w:rPr>
        <w:t xml:space="preserve"> </w:t>
      </w:r>
      <w:r w:rsidR="002A5D16" w:rsidRPr="00741FA1">
        <w:rPr>
          <w:bCs/>
          <w:sz w:val="24"/>
          <w:szCs w:val="24"/>
        </w:rPr>
        <w:t xml:space="preserve">s názvom </w:t>
      </w:r>
      <w:r>
        <w:rPr>
          <w:bCs/>
          <w:sz w:val="24"/>
          <w:szCs w:val="24"/>
        </w:rPr>
        <w:t>„</w:t>
      </w:r>
      <w:r w:rsidR="00215061" w:rsidRPr="00215061">
        <w:rPr>
          <w:bCs/>
          <w:sz w:val="24"/>
          <w:szCs w:val="24"/>
        </w:rPr>
        <w:t>Vývoj a prevádzka informačných systémov v oblasti finančného riadenia, kontroly a auditu EŠIF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215061">
        <w:rPr>
          <w:bCs/>
          <w:sz w:val="24"/>
          <w:szCs w:val="24"/>
        </w:rPr>
        <w:t>3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215061">
        <w:rPr>
          <w:bCs/>
          <w:sz w:val="24"/>
          <w:szCs w:val="24"/>
        </w:rPr>
        <w:t>3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</w:t>
      </w:r>
      <w:r w:rsidR="00215061">
        <w:rPr>
          <w:bCs/>
          <w:sz w:val="24"/>
          <w:szCs w:val="24"/>
        </w:rPr>
        <w:t>7</w:t>
      </w:r>
      <w:r w:rsidR="00AF42FD" w:rsidRPr="00741FA1">
        <w:rPr>
          <w:bCs/>
          <w:sz w:val="24"/>
          <w:szCs w:val="24"/>
        </w:rPr>
        <w:t xml:space="preserve">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D72F45" w:rsidRDefault="00D72F45" w:rsidP="00D72F45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D72F45">
        <w:rPr>
          <w:rFonts w:asciiTheme="minorHAnsi" w:hAnsiTheme="minorHAnsi"/>
          <w:bCs/>
          <w:i/>
          <w:sz w:val="22"/>
          <w:szCs w:val="22"/>
        </w:rPr>
        <w:t>V časti</w:t>
      </w:r>
      <w:r>
        <w:rPr>
          <w:bCs/>
          <w:i/>
        </w:rPr>
        <w:t xml:space="preserve"> </w:t>
      </w:r>
      <w:r w:rsidRPr="00D72F45">
        <w:rPr>
          <w:rFonts w:asciiTheme="minorHAnsi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D72F45">
        <w:rPr>
          <w:rFonts w:asciiTheme="minorHAnsi" w:hAnsiTheme="minorHAnsi"/>
          <w:b/>
          <w:bCs/>
          <w:i/>
          <w:sz w:val="22"/>
          <w:szCs w:val="22"/>
        </w:rPr>
        <w:t>ŽoNFP</w:t>
      </w:r>
      <w:proofErr w:type="spellEnd"/>
    </w:p>
    <w:p w:rsidR="00D72F45" w:rsidRDefault="00D72F45" w:rsidP="00D72F45">
      <w:pPr>
        <w:pStyle w:val="Default"/>
        <w:ind w:firstLine="360"/>
        <w:jc w:val="both"/>
        <w:rPr>
          <w:rFonts w:asciiTheme="minorHAnsi" w:hAnsiTheme="minorHAnsi" w:cs="Times New Roman"/>
          <w:sz w:val="22"/>
          <w:szCs w:val="22"/>
        </w:rPr>
      </w:pPr>
    </w:p>
    <w:p w:rsidR="00D72F45" w:rsidRDefault="00D72F45" w:rsidP="00D72F45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D72F45" w:rsidRDefault="00D72F45" w:rsidP="00D72F45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D72F45" w:rsidRDefault="00D72F45" w:rsidP="00D72F45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 w:rsidRPr="00215061">
        <w:rPr>
          <w:rFonts w:asciiTheme="minorHAnsi" w:hAnsiTheme="minorHAnsi"/>
          <w:b/>
          <w:sz w:val="22"/>
          <w:szCs w:val="22"/>
          <w:u w:val="single"/>
        </w:rPr>
        <w:t xml:space="preserve">listinnej </w:t>
      </w:r>
      <w:r w:rsidRPr="002B139F">
        <w:rPr>
          <w:rFonts w:asciiTheme="minorHAnsi" w:hAnsiTheme="minorHAnsi"/>
          <w:b/>
          <w:sz w:val="22"/>
          <w:szCs w:val="22"/>
        </w:rPr>
        <w:t>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D72F45" w:rsidRPr="00FC0520" w:rsidRDefault="00D72F45" w:rsidP="00D72F45">
      <w:pPr>
        <w:pStyle w:val="Odsekzoznamu"/>
        <w:spacing w:before="240" w:after="240"/>
        <w:ind w:left="0" w:firstLine="708"/>
        <w:jc w:val="both"/>
      </w:pPr>
    </w:p>
    <w:p w:rsidR="00D72F45" w:rsidRPr="009446DF" w:rsidRDefault="00D72F45" w:rsidP="00D72F45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sekcia operačných programov 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odbor implementácie projektov OP TP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Námestie slobody 1 </w:t>
      </w:r>
    </w:p>
    <w:p w:rsidR="00D72F45" w:rsidRPr="00FC0520" w:rsidRDefault="00D72F45" w:rsidP="00D72F45">
      <w:pPr>
        <w:spacing w:after="0"/>
        <w:ind w:firstLine="357"/>
        <w:jc w:val="both"/>
      </w:pPr>
      <w:r w:rsidRPr="0062456D">
        <w:t>813 70 Bratislava 15</w:t>
      </w:r>
    </w:p>
    <w:p w:rsidR="00D72F45" w:rsidRDefault="00D72F45" w:rsidP="00D72F45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D72F45" w:rsidRDefault="00D72F45" w:rsidP="00D72F45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D72F45" w:rsidRPr="0062456D" w:rsidRDefault="00D72F45" w:rsidP="00D72F45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Námestie slobody 1 </w:t>
      </w:r>
    </w:p>
    <w:p w:rsidR="00D72F45" w:rsidRPr="00FC0520" w:rsidRDefault="00D72F45" w:rsidP="00D72F45">
      <w:pPr>
        <w:spacing w:after="0"/>
        <w:ind w:firstLine="357"/>
        <w:jc w:val="both"/>
      </w:pPr>
      <w:r w:rsidRPr="0062456D">
        <w:t>813 70 Bratislava 15</w:t>
      </w:r>
    </w:p>
    <w:p w:rsidR="00D72F45" w:rsidRPr="009446DF" w:rsidRDefault="00D72F45" w:rsidP="00D72F45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Úrad vlády Slovenskej republiky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sekcia operačných programov </w:t>
      </w:r>
    </w:p>
    <w:p w:rsidR="00D72F45" w:rsidRPr="00FC0520" w:rsidRDefault="00D72F45" w:rsidP="00D72F45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D72F45" w:rsidRPr="00FC0520" w:rsidRDefault="00D72F45" w:rsidP="00D72F45">
      <w:pPr>
        <w:spacing w:after="0"/>
        <w:ind w:firstLine="357"/>
        <w:jc w:val="both"/>
      </w:pPr>
      <w:r w:rsidRPr="00FC0520">
        <w:t>Radlinského 13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lastRenderedPageBreak/>
        <w:t>Bratislava</w:t>
      </w:r>
    </w:p>
    <w:p w:rsidR="00D72F45" w:rsidRPr="00215061" w:rsidRDefault="00D72F45" w:rsidP="00D72F45">
      <w:pPr>
        <w:spacing w:before="240" w:after="240"/>
        <w:ind w:firstLine="360"/>
        <w:jc w:val="both"/>
        <w:rPr>
          <w:u w:val="single"/>
        </w:rPr>
      </w:pPr>
      <w:r w:rsidRPr="00215061">
        <w:rPr>
          <w:u w:val="single"/>
        </w:rPr>
        <w:t xml:space="preserve">RO OP TP nie je oprávnený v zmysle v súčasnosti platných právnych prepisov obmedziť pre žiadateľov predkladanie </w:t>
      </w:r>
      <w:proofErr w:type="spellStart"/>
      <w:r w:rsidRPr="00215061">
        <w:rPr>
          <w:u w:val="single"/>
        </w:rPr>
        <w:t>ŽoNFP</w:t>
      </w:r>
      <w:proofErr w:type="spellEnd"/>
      <w:r w:rsidRPr="00215061">
        <w:rPr>
          <w:u w:val="single"/>
        </w:rPr>
        <w:t xml:space="preserve"> v listinnej podobe. V zmysle zákona o </w:t>
      </w:r>
      <w:proofErr w:type="spellStart"/>
      <w:r w:rsidRPr="00215061">
        <w:rPr>
          <w:u w:val="single"/>
        </w:rPr>
        <w:t>e-Governmente</w:t>
      </w:r>
      <w:proofErr w:type="spellEnd"/>
      <w:r w:rsidRPr="00215061">
        <w:rPr>
          <w:u w:val="single"/>
        </w:rPr>
        <w:t xml:space="preserve"> môže žiadateľ písomné doručenie </w:t>
      </w:r>
      <w:proofErr w:type="spellStart"/>
      <w:r w:rsidRPr="00215061">
        <w:rPr>
          <w:u w:val="single"/>
        </w:rPr>
        <w:t>ŽoNFP</w:t>
      </w:r>
      <w:proofErr w:type="spellEnd"/>
      <w:r w:rsidRPr="00215061">
        <w:rPr>
          <w:u w:val="single"/>
        </w:rPr>
        <w:t xml:space="preserve"> nahradiť elektronickým doručením prostredníctvom </w:t>
      </w:r>
      <w:r w:rsidRPr="00215061">
        <w:rPr>
          <w:rFonts w:asciiTheme="minorHAnsi" w:hAnsiTheme="minorHAnsi"/>
          <w:u w:val="single"/>
        </w:rPr>
        <w:t>Ústredného portálu verejnej správy</w:t>
      </w:r>
      <w:r w:rsidRPr="00215061">
        <w:rPr>
          <w:u w:val="single"/>
        </w:rPr>
        <w:t xml:space="preserve"> (ÚP VS na adrese </w:t>
      </w:r>
      <w:proofErr w:type="spellStart"/>
      <w:r w:rsidRPr="00215061">
        <w:rPr>
          <w:u w:val="single"/>
        </w:rPr>
        <w:t>www.slovensko.sk</w:t>
      </w:r>
      <w:proofErr w:type="spellEnd"/>
      <w:r w:rsidRPr="00215061">
        <w:rPr>
          <w:u w:val="single"/>
        </w:rPr>
        <w:t>) do elektronickej schránky RO OP TP (služba ÚV SR).</w:t>
      </w:r>
    </w:p>
    <w:p w:rsidR="00D72F45" w:rsidRPr="00215061" w:rsidRDefault="00D72F45" w:rsidP="00D72F45">
      <w:pPr>
        <w:spacing w:before="240" w:after="240"/>
        <w:ind w:firstLine="360"/>
        <w:jc w:val="both"/>
        <w:rPr>
          <w:rFonts w:asciiTheme="minorHAnsi" w:hAnsiTheme="minorHAnsi"/>
          <w:u w:val="single"/>
        </w:rPr>
      </w:pPr>
      <w:r w:rsidRPr="00215061">
        <w:rPr>
          <w:rFonts w:asciiTheme="minorHAnsi" w:hAnsiTheme="minorHAnsi"/>
          <w:u w:val="single"/>
        </w:rPr>
        <w:t xml:space="preserve">Žiadateľ postupuje pri predložení </w:t>
      </w:r>
      <w:proofErr w:type="spellStart"/>
      <w:r w:rsidRPr="00215061">
        <w:rPr>
          <w:rFonts w:asciiTheme="minorHAnsi" w:hAnsiTheme="minorHAnsi"/>
          <w:u w:val="single"/>
        </w:rPr>
        <w:t>ŽoNFP</w:t>
      </w:r>
      <w:proofErr w:type="spellEnd"/>
      <w:r w:rsidRPr="00215061">
        <w:rPr>
          <w:rFonts w:asciiTheme="minorHAnsi" w:hAnsiTheme="minorHAnsi"/>
          <w:u w:val="single"/>
        </w:rPr>
        <w:t xml:space="preserve"> do elektronickej schránky RO OP TP nasledovne:</w:t>
      </w:r>
    </w:p>
    <w:p w:rsidR="00D72F45" w:rsidRPr="00215061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  <w:u w:val="single"/>
        </w:rPr>
      </w:pPr>
      <w:r w:rsidRPr="00215061">
        <w:rPr>
          <w:rFonts w:asciiTheme="minorHAnsi" w:hAnsiTheme="minorHAnsi"/>
          <w:sz w:val="22"/>
          <w:szCs w:val="22"/>
          <w:u w:val="single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pdf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súbor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D72F45" w:rsidRPr="00215061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  <w:u w:val="single"/>
        </w:rPr>
      </w:pPr>
      <w:r w:rsidRPr="00215061">
        <w:rPr>
          <w:rFonts w:asciiTheme="minorHAnsi" w:hAnsiTheme="minorHAnsi"/>
          <w:sz w:val="22"/>
          <w:szCs w:val="22"/>
          <w:u w:val="single"/>
        </w:rPr>
        <w:t xml:space="preserve">po termíne integrácie ITMS2014+ s Ústredným portálom verejnej správy žiadateľ autorizuje a odošle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bez príloh priamo z prostredia ITMS2014+ (podrobnejšie informácie po integrácii poskytne RO OP TP žiadateľom na webovom sídle RO OP TP ). </w:t>
      </w:r>
    </w:p>
    <w:p w:rsidR="00D72F45" w:rsidRPr="00215061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  <w:u w:val="single"/>
        </w:rPr>
      </w:pPr>
      <w:r w:rsidRPr="00215061">
        <w:rPr>
          <w:rFonts w:asciiTheme="minorHAnsi" w:hAnsiTheme="minorHAnsi"/>
          <w:sz w:val="22"/>
          <w:szCs w:val="22"/>
          <w:u w:val="single"/>
        </w:rPr>
        <w:t xml:space="preserve">Žiadateľ štandardne neautorizuje prílohy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>, ale ich iba vloží do ITMS2014+. V  prípade prílohy Splnomocnenia osoby splnomocnenej zastupovať žiadateľa v konaní o 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je potrebné doručiť prílohu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Style w:val="Odkaznapoznmkupodiarou"/>
          <w:rFonts w:asciiTheme="minorHAnsi" w:hAnsiTheme="minorHAnsi"/>
          <w:sz w:val="22"/>
          <w:szCs w:val="22"/>
          <w:u w:val="single"/>
        </w:rPr>
        <w:footnoteReference w:id="1"/>
      </w:r>
      <w:r w:rsidRPr="00215061">
        <w:rPr>
          <w:rFonts w:asciiTheme="minorHAnsi" w:hAnsiTheme="minorHAnsi"/>
          <w:sz w:val="22"/>
          <w:szCs w:val="22"/>
          <w:u w:val="single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D72F45" w:rsidRPr="00215061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  <w:u w:val="single"/>
        </w:rPr>
      </w:pPr>
      <w:r w:rsidRPr="00215061">
        <w:rPr>
          <w:rFonts w:asciiTheme="minorHAnsi" w:hAnsiTheme="minorHAnsi"/>
          <w:sz w:val="22"/>
          <w:szCs w:val="22"/>
          <w:u w:val="single"/>
        </w:rPr>
        <w:t xml:space="preserve">Aj v prípade, že žiadateľ predkladá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bez príloh výlučne elektronicky, je oprávnený doručiť vybrané prílohy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>, ktoré nie sú dostupné v elektronickej podobe, resp. ich zaručená konverzia vykonaná postupom podľa § 36 zákona o 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e-Governmente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do elektronickej podoby by neúmerne zaťažila žiadateľa, v listinnej podobe. V tomto prípade sa za dátum doručenia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bude považovať dátum, ktorý nastane neskôr; buď dátum doručenia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do elektronickej schránky RO alebo dátum podania/odovzdania listinnej prílohy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. </w:t>
      </w:r>
    </w:p>
    <w:p w:rsidR="00D72F45" w:rsidRPr="00215061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  <w:u w:val="single"/>
        </w:rPr>
      </w:pPr>
      <w:r w:rsidRPr="00215061">
        <w:rPr>
          <w:rFonts w:asciiTheme="minorHAnsi" w:hAnsiTheme="minorHAnsi"/>
          <w:sz w:val="22"/>
          <w:szCs w:val="22"/>
          <w:u w:val="single"/>
        </w:rPr>
        <w:t xml:space="preserve">V prípade, ak žiadateľ predloží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bez príloh elektronickým spôsobom a má aktivovanú elektronickú schránku, RO OP TP je povinný doručovať všetky rozhodnutia, vydané v konaní o 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 xml:space="preserve"> elektronicky, v súlade so zákonom o </w:t>
      </w:r>
      <w:proofErr w:type="spellStart"/>
      <w:r w:rsidRPr="00215061">
        <w:rPr>
          <w:rFonts w:asciiTheme="minorHAnsi" w:hAnsiTheme="minorHAnsi"/>
          <w:sz w:val="22"/>
          <w:szCs w:val="22"/>
          <w:u w:val="single"/>
        </w:rPr>
        <w:t>e-Governmente</w:t>
      </w:r>
      <w:proofErr w:type="spellEnd"/>
      <w:r w:rsidRPr="00215061">
        <w:rPr>
          <w:rFonts w:asciiTheme="minorHAnsi" w:hAnsiTheme="minorHAnsi"/>
          <w:sz w:val="22"/>
          <w:szCs w:val="22"/>
          <w:u w:val="single"/>
        </w:rPr>
        <w:t>.</w:t>
      </w:r>
    </w:p>
    <w:p w:rsidR="00D72F45" w:rsidRPr="002B139F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15061">
        <w:rPr>
          <w:rFonts w:asciiTheme="minorHAnsi" w:hAnsiTheme="minorHAnsi" w:cs="Times New Roman"/>
          <w:sz w:val="22"/>
          <w:szCs w:val="22"/>
          <w:u w:val="single"/>
        </w:rPr>
        <w:t xml:space="preserve">Za písomné doručenie </w:t>
      </w:r>
      <w:proofErr w:type="spellStart"/>
      <w:r w:rsidRPr="00215061">
        <w:rPr>
          <w:rFonts w:asciiTheme="minorHAnsi" w:hAnsiTheme="minorHAnsi" w:cs="Times New Roman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 w:cs="Times New Roman"/>
          <w:sz w:val="22"/>
          <w:szCs w:val="22"/>
          <w:u w:val="single"/>
        </w:rPr>
        <w:t xml:space="preserve">, ako aj ďalších dokumentov v rámci konania o </w:t>
      </w:r>
      <w:proofErr w:type="spellStart"/>
      <w:r w:rsidRPr="00215061">
        <w:rPr>
          <w:rFonts w:asciiTheme="minorHAnsi" w:hAnsiTheme="minorHAnsi" w:cs="Times New Roman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 w:cs="Times New Roman"/>
          <w:sz w:val="22"/>
          <w:szCs w:val="22"/>
          <w:u w:val="single"/>
        </w:rPr>
        <w:t>, vyžadovaných podľa ustanovení Systému riadenia EŠIF sa v zmysle zákona o </w:t>
      </w:r>
      <w:proofErr w:type="spellStart"/>
      <w:r w:rsidRPr="00215061">
        <w:rPr>
          <w:rFonts w:asciiTheme="minorHAnsi" w:hAnsiTheme="minorHAnsi" w:cs="Times New Roman"/>
          <w:sz w:val="22"/>
          <w:szCs w:val="22"/>
          <w:u w:val="single"/>
        </w:rPr>
        <w:t>e-Governmente</w:t>
      </w:r>
      <w:proofErr w:type="spellEnd"/>
      <w:r w:rsidRPr="00215061">
        <w:rPr>
          <w:rFonts w:asciiTheme="minorHAnsi" w:hAnsiTheme="minorHAnsi" w:cs="Times New Roman"/>
          <w:sz w:val="22"/>
          <w:szCs w:val="22"/>
          <w:u w:val="single"/>
        </w:rPr>
        <w:t xml:space="preserve"> považuje aj doručenie </w:t>
      </w:r>
      <w:proofErr w:type="spellStart"/>
      <w:r w:rsidRPr="00215061">
        <w:rPr>
          <w:rFonts w:asciiTheme="minorHAnsi" w:hAnsiTheme="minorHAnsi" w:cs="Times New Roman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 w:cs="Times New Roman"/>
          <w:sz w:val="22"/>
          <w:szCs w:val="22"/>
          <w:u w:val="single"/>
        </w:rPr>
        <w:t xml:space="preserve"> bez príloh, resp. ďalších dokumentov v rámci konania o </w:t>
      </w:r>
      <w:proofErr w:type="spellStart"/>
      <w:r w:rsidRPr="00215061">
        <w:rPr>
          <w:rFonts w:asciiTheme="minorHAnsi" w:hAnsiTheme="minorHAnsi" w:cs="Times New Roman"/>
          <w:sz w:val="22"/>
          <w:szCs w:val="22"/>
          <w:u w:val="single"/>
        </w:rPr>
        <w:t>ŽoNFP</w:t>
      </w:r>
      <w:proofErr w:type="spellEnd"/>
      <w:r w:rsidRPr="00215061">
        <w:rPr>
          <w:rFonts w:asciiTheme="minorHAnsi" w:hAnsiTheme="minorHAnsi" w:cs="Times New Roman"/>
          <w:sz w:val="22"/>
          <w:szCs w:val="22"/>
          <w:u w:val="single"/>
        </w:rPr>
        <w:t xml:space="preserve">, autorizovaných kvalifikovaným elektronickým podpisom, kvalifikovaným elektronickým </w:t>
      </w:r>
      <w:r w:rsidRPr="00215061">
        <w:rPr>
          <w:rFonts w:asciiTheme="minorHAnsi" w:hAnsiTheme="minorHAnsi" w:cs="Times New Roman"/>
          <w:sz w:val="22"/>
          <w:szCs w:val="22"/>
          <w:u w:val="single"/>
        </w:rPr>
        <w:lastRenderedPageBreak/>
        <w:t>podpisom s mandátnym certifikátom alebo kvalifikovanou elektronickou pečaťou do elektronickej schránky RO OP TP.</w:t>
      </w:r>
    </w:p>
    <w:p w:rsidR="00D72F45" w:rsidRPr="00F75923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D72F45" w:rsidRPr="00F75923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D72F45" w:rsidRPr="00F75923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D72F45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D72F45" w:rsidRPr="00F75923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72F45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72F45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D72F45" w:rsidRPr="00370C6F" w:rsidRDefault="00D72F45" w:rsidP="00370C6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370C6F">
        <w:rPr>
          <w:rFonts w:asciiTheme="minorHAnsi" w:hAnsiTheme="minorHAnsi" w:cs="Times New Roman"/>
          <w:sz w:val="22"/>
          <w:szCs w:val="22"/>
        </w:rPr>
        <w:t>V prípade, že žiadosť o NFP podpisuje v mene štatutára splnomocnená osoba, je žiadateľ povinný predložiť spolu so žiadosťou o NFP aj splnomocnenie na tento úkon.</w:t>
      </w:r>
    </w:p>
    <w:p w:rsidR="00D72F45" w:rsidRPr="00370C6F" w:rsidRDefault="00D72F45" w:rsidP="00370C6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370C6F">
        <w:rPr>
          <w:rFonts w:asciiTheme="minorHAnsi" w:hAnsiTheme="minorHAnsi" w:cs="Times New Roman"/>
          <w:sz w:val="22"/>
          <w:szCs w:val="22"/>
        </w:rPr>
        <w:t xml:space="preserve">Postup pri získavaní prístupu do verejnej časti ITMS2014+ je popísaný na webovom sídle </w:t>
      </w:r>
      <w:hyperlink r:id="rId9" w:history="1">
        <w:r w:rsidRPr="00370C6F">
          <w:rPr>
            <w:rFonts w:asciiTheme="minorHAnsi" w:hAnsiTheme="minorHAnsi" w:cs="Times New Roman"/>
            <w:sz w:val="22"/>
            <w:szCs w:val="22"/>
          </w:rPr>
          <w:t>www.ITMS2014.sk</w:t>
        </w:r>
      </w:hyperlink>
      <w:r w:rsidRPr="00370C6F">
        <w:rPr>
          <w:rFonts w:asciiTheme="minorHAnsi" w:hAnsiTheme="minorHAnsi" w:cs="Times New Roman"/>
          <w:sz w:val="22"/>
          <w:szCs w:val="22"/>
        </w:rPr>
        <w:t xml:space="preserve"> v časti ČASTO KLADENÉ OTÁZKY (REGISTRÁCIA DO ITMS2014+).</w:t>
      </w:r>
    </w:p>
    <w:p w:rsidR="00030CB0" w:rsidRDefault="00030CB0" w:rsidP="00030CB0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030CB0" w:rsidRDefault="00030CB0" w:rsidP="00030CB0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 w:rsidR="00E21B69">
        <w:rPr>
          <w:i/>
        </w:rPr>
        <w:t>y</w:t>
      </w:r>
      <w:r w:rsidRPr="00030CB0">
        <w:rPr>
          <w:i/>
        </w:rPr>
        <w:t>zv</w:t>
      </w:r>
      <w:r w:rsidR="00E21B69"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</w:t>
      </w:r>
      <w:r w:rsidR="00896B75">
        <w:rPr>
          <w:i/>
        </w:rPr>
        <w:t>y</w:t>
      </w:r>
      <w:r>
        <w:rPr>
          <w:i/>
        </w:rPr>
        <w:t>zva</w:t>
      </w:r>
      <w:r w:rsidR="00896B75">
        <w:rPr>
          <w:i/>
        </w:rPr>
        <w:t>niach</w:t>
      </w:r>
      <w:r>
        <w:rPr>
          <w:i/>
        </w:rPr>
        <w:t xml:space="preserve">, ktoré nie sú uzavreté </w:t>
      </w:r>
      <w:r w:rsidRPr="00030CB0">
        <w:rPr>
          <w:i/>
        </w:rPr>
        <w:t xml:space="preserve"> formou zverejnenia informácie o zmene </w:t>
      </w:r>
      <w:r w:rsidR="00896B75">
        <w:rPr>
          <w:i/>
        </w:rPr>
        <w:t>vyzvania</w:t>
      </w:r>
      <w:r w:rsidRPr="00030CB0">
        <w:rPr>
          <w:i/>
        </w:rPr>
        <w:t xml:space="preserve"> na webovom sídle </w:t>
      </w:r>
      <w:r w:rsidR="00896B75"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6032F8" w:rsidRPr="00663983" w:rsidRDefault="006032F8" w:rsidP="006032F8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6032F8" w:rsidRDefault="006032F8">
      <w:pPr>
        <w:spacing w:after="0" w:line="240" w:lineRule="auto"/>
        <w:rPr>
          <w:rFonts w:asciiTheme="minorHAnsi" w:eastAsia="Times New Roman" w:hAnsiTheme="minorHAnsi"/>
          <w:bCs/>
          <w:i/>
          <w:lang w:eastAsia="sk-SK"/>
        </w:rPr>
      </w:pPr>
      <w:r>
        <w:rPr>
          <w:rFonts w:asciiTheme="minorHAnsi" w:hAnsiTheme="minorHAnsi"/>
          <w:bCs/>
          <w:i/>
        </w:rPr>
        <w:br w:type="page"/>
      </w:r>
    </w:p>
    <w:p w:rsidR="001D5E8A" w:rsidRDefault="001D5E8A" w:rsidP="001D5E8A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lastRenderedPageBreak/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 w:rsidR="00671AB6">
        <w:rPr>
          <w:rFonts w:asciiTheme="minorHAnsi" w:hAnsiTheme="minorHAnsi"/>
          <w:color w:val="000000"/>
        </w:rPr>
        <w:t xml:space="preserve">text v časti 3 Overovanie podmienok poskytnutia príspevku a ďalšie informácie k vyzvaniu </w:t>
      </w:r>
      <w:r w:rsidR="00671AB6" w:rsidRPr="00EE17F9">
        <w:rPr>
          <w:u w:val="single"/>
        </w:rPr>
        <w:t>nasledovne:</w:t>
      </w:r>
    </w:p>
    <w:p w:rsidR="00DB42B1" w:rsidRPr="0056566D" w:rsidRDefault="00DB42B1" w:rsidP="00DB42B1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DB42B1" w:rsidRDefault="00DB42B1" w:rsidP="00DB42B1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DB42B1" w:rsidRPr="00D56CE6" w:rsidRDefault="00DB42B1" w:rsidP="00DB42B1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DB42B1" w:rsidRPr="00393C22" w:rsidRDefault="00DB42B1" w:rsidP="00DB42B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DB42B1" w:rsidRPr="00AE1A6C" w:rsidRDefault="00DB42B1" w:rsidP="00DB42B1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DB42B1" w:rsidRDefault="00DB42B1" w:rsidP="00DB42B1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DB42B1" w:rsidRDefault="00DB42B1" w:rsidP="00896B75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Cs/>
          <w:color w:val="000000"/>
        </w:rPr>
      </w:pPr>
    </w:p>
    <w:p w:rsidR="00896B75" w:rsidRDefault="00896B75" w:rsidP="00896B75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96B75" w:rsidRDefault="00896B75" w:rsidP="00896B75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="00DB42B1" w:rsidRPr="00DB42B1">
        <w:rPr>
          <w:i/>
          <w:u w:val="single"/>
        </w:rPr>
        <w:t>Overovanie podmienok poskytnutia príspevku</w:t>
      </w:r>
      <w:r w:rsidR="00DB42B1">
        <w:rPr>
          <w:i/>
        </w:rPr>
        <w:t xml:space="preserve"> doplnil v nadväznosti na  Metodický výklad CKO č.4</w:t>
      </w:r>
      <w:r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261637" w:rsidRPr="00261637" w:rsidRDefault="00261637" w:rsidP="00215061">
      <w:pPr>
        <w:spacing w:after="0"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Cs/>
        </w:rPr>
        <w:t>v</w:t>
      </w:r>
      <w:r w:rsidRPr="00767303">
        <w:rPr>
          <w:rFonts w:asciiTheme="minorHAnsi" w:hAnsiTheme="minorHAnsi"/>
          <w:bCs/>
        </w:rPr>
        <w:t> časti</w:t>
      </w:r>
      <w:r w:rsidRPr="00767303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t xml:space="preserve">5. </w:t>
      </w:r>
      <w:r w:rsidRPr="00767303">
        <w:rPr>
          <w:rFonts w:asciiTheme="minorHAnsi" w:hAnsiTheme="minorHAnsi"/>
          <w:b/>
          <w:bCs/>
        </w:rPr>
        <w:t xml:space="preserve">Prílohy vyzvania:  Príloha č. </w:t>
      </w:r>
      <w:r>
        <w:rPr>
          <w:rFonts w:asciiTheme="minorHAnsi" w:hAnsiTheme="minorHAnsi"/>
          <w:b/>
          <w:bCs/>
        </w:rPr>
        <w:t>2</w:t>
      </w:r>
      <w:r w:rsidRPr="00767303">
        <w:rPr>
          <w:rFonts w:asciiTheme="minorHAnsi" w:hAnsiTheme="minorHAnsi"/>
          <w:b/>
          <w:bCs/>
        </w:rPr>
        <w:t xml:space="preserve"> – </w:t>
      </w:r>
      <w:r w:rsidRPr="00A70824">
        <w:rPr>
          <w:rFonts w:asciiTheme="minorHAnsi" w:hAnsiTheme="minorHAnsi"/>
          <w:bCs/>
          <w:iCs/>
        </w:rPr>
        <w:t>Zoznam povinných merateľných ukazovateľov</w:t>
      </w:r>
    </w:p>
    <w:p w:rsidR="00261637" w:rsidRDefault="00261637" w:rsidP="00261637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61637" w:rsidRPr="00544503" w:rsidRDefault="00DC6F68" w:rsidP="00261637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spôsob výpočtu ročných a kumulatívnych hodnôt.</w:t>
      </w:r>
    </w:p>
    <w:p w:rsidR="00261637" w:rsidRPr="00741FA1" w:rsidRDefault="00261637" w:rsidP="00261637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44503" w:rsidRDefault="00215061" w:rsidP="00544503">
      <w:pPr>
        <w:jc w:val="both"/>
        <w:rPr>
          <w:i/>
        </w:rPr>
      </w:pPr>
      <w:r>
        <w:rPr>
          <w:i/>
        </w:rPr>
        <w:t>P</w:t>
      </w:r>
      <w:r w:rsidR="00DC6F68">
        <w:rPr>
          <w:i/>
        </w:rPr>
        <w:t xml:space="preserve">o schválení metodikou CKO </w:t>
      </w:r>
      <w:r>
        <w:rPr>
          <w:i/>
        </w:rPr>
        <w:t xml:space="preserve">RO OP TP doplnil do </w:t>
      </w:r>
      <w:r>
        <w:rPr>
          <w:i/>
        </w:rPr>
        <w:t>zoznam</w:t>
      </w:r>
      <w:r>
        <w:rPr>
          <w:i/>
        </w:rPr>
        <w:t>u</w:t>
      </w:r>
      <w:r>
        <w:rPr>
          <w:i/>
        </w:rPr>
        <w:t xml:space="preserve"> merateľných ukazovateľov </w:t>
      </w:r>
      <w:r w:rsidR="00DC6F68">
        <w:rPr>
          <w:i/>
        </w:rPr>
        <w:t xml:space="preserve">definície výpočtu ročných a kumulatívnych hodnôt ukazovateľov. </w:t>
      </w:r>
    </w:p>
    <w:p w:rsidR="00DB42B1" w:rsidRPr="00663983" w:rsidRDefault="00DB42B1" w:rsidP="00DB42B1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DB42B1" w:rsidRPr="00DC6F68" w:rsidRDefault="00DB42B1" w:rsidP="00DB42B1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 w:rsidR="009702B3"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DC6F68" w:rsidRDefault="00DC6F68" w:rsidP="00DC6F68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DB42B1" w:rsidRPr="00190281" w:rsidRDefault="00DB42B1" w:rsidP="00DB42B1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 w:rsidR="00DC6F68">
        <w:rPr>
          <w:rFonts w:asciiTheme="minorHAnsi" w:hAnsiTheme="minorHAnsi"/>
          <w:color w:val="000000"/>
        </w:rPr>
        <w:t xml:space="preserve">bol doplnený o bod </w:t>
      </w:r>
      <w:r w:rsidR="00215061">
        <w:rPr>
          <w:rFonts w:asciiTheme="minorHAnsi" w:hAnsiTheme="minorHAnsi"/>
          <w:color w:val="000000"/>
        </w:rPr>
        <w:t>5</w:t>
      </w:r>
      <w:r w:rsidR="00DC6F68">
        <w:rPr>
          <w:rFonts w:asciiTheme="minorHAnsi" w:hAnsiTheme="minorHAnsi"/>
          <w:color w:val="000000"/>
        </w:rPr>
        <w:t>. Iné údaje</w:t>
      </w:r>
      <w:r w:rsidRPr="00190281">
        <w:rPr>
          <w:rFonts w:asciiTheme="minorHAnsi" w:hAnsiTheme="minorHAnsi"/>
          <w:color w:val="000000"/>
        </w:rPr>
        <w:t>.</w:t>
      </w:r>
    </w:p>
    <w:p w:rsidR="00DB42B1" w:rsidRPr="00741FA1" w:rsidRDefault="00DB42B1" w:rsidP="00DB42B1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DB42B1" w:rsidRPr="00C9420F" w:rsidRDefault="00DB42B1" w:rsidP="003C6168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nie je možné </w:t>
      </w:r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</w:t>
      </w:r>
      <w:proofErr w:type="spellStart"/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 w:rsidR="009702B3"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</w:t>
      </w:r>
      <w:r w:rsidR="00215061">
        <w:rPr>
          <w:rFonts w:asciiTheme="minorHAnsi" w:hAnsiTheme="minorHAnsi"/>
          <w:i/>
          <w:color w:val="000000"/>
          <w:sz w:val="22"/>
          <w:szCs w:val="22"/>
          <w:lang w:eastAsia="en-US"/>
        </w:rPr>
        <w:t>5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. iné údaje.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  <w:bookmarkStart w:id="0" w:name="_GoBack"/>
      <w:bookmarkEnd w:id="0"/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84179">
        <w:rPr>
          <w:b/>
          <w:color w:val="000000"/>
        </w:rPr>
        <w:t>1</w:t>
      </w:r>
      <w:r w:rsidR="00215061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184179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DB42B1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0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DC6F68" w:rsidRDefault="00261637" w:rsidP="00261637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 w:rsidR="00DC6F68">
        <w:rPr>
          <w:rFonts w:asciiTheme="minorHAnsi" w:hAnsiTheme="minorHAnsi"/>
          <w:color w:val="000000"/>
          <w:u w:val="single"/>
        </w:rPr>
        <w:t>y:</w:t>
      </w:r>
    </w:p>
    <w:p w:rsidR="00261637" w:rsidRPr="001610D6" w:rsidRDefault="00DC6F68" w:rsidP="001610D6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 w:rsidR="009702B3">
        <w:rPr>
          <w:rFonts w:asciiTheme="minorHAnsi" w:hAnsiTheme="minorHAnsi"/>
          <w:color w:val="000000"/>
        </w:rPr>
        <w:t xml:space="preserve">. </w:t>
      </w:r>
      <w:r w:rsidR="00261637" w:rsidRPr="001610D6">
        <w:rPr>
          <w:rFonts w:asciiTheme="minorHAnsi" w:hAnsiTheme="minorHAnsi"/>
          <w:color w:val="000000"/>
        </w:rPr>
        <w:t xml:space="preserve"> </w:t>
      </w:r>
      <w:r w:rsidR="00261637" w:rsidRPr="001610D6">
        <w:rPr>
          <w:rFonts w:asciiTheme="minorHAnsi" w:hAnsiTheme="minorHAnsi"/>
          <w:bCs/>
          <w:iCs/>
        </w:rPr>
        <w:t>Zoznam povinných merateľných ukazovateľov</w:t>
      </w:r>
    </w:p>
    <w:p w:rsidR="00DC6F68" w:rsidRPr="009702B3" w:rsidRDefault="009702B3" w:rsidP="001610D6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</w:t>
      </w:r>
      <w:r w:rsidR="00982DF6" w:rsidRPr="009702B3">
        <w:rPr>
          <w:rFonts w:asciiTheme="minorHAnsi" w:hAnsiTheme="minorHAnsi"/>
          <w:color w:val="000000"/>
        </w:rPr>
        <w:t xml:space="preserve"> </w:t>
      </w:r>
      <w:r w:rsidR="0064560E" w:rsidRPr="009702B3">
        <w:rPr>
          <w:rFonts w:asciiTheme="minorHAnsi" w:hAnsiTheme="minorHAnsi"/>
          <w:bCs/>
          <w:iCs/>
        </w:rPr>
        <w:t xml:space="preserve">Vzory povinnej prílohy k žiadosti o NFP </w:t>
      </w:r>
      <w:r w:rsidR="00DC6F68" w:rsidRPr="009702B3">
        <w:rPr>
          <w:rFonts w:asciiTheme="minorHAnsi" w:hAnsiTheme="minorHAnsi"/>
          <w:bCs/>
          <w:iCs/>
        </w:rPr>
        <w:t xml:space="preserve"> </w:t>
      </w:r>
      <w:r w:rsidR="0071264B" w:rsidRPr="009702B3">
        <w:rPr>
          <w:rFonts w:asciiTheme="minorHAnsi" w:hAnsiTheme="minorHAnsi"/>
          <w:bCs/>
          <w:iCs/>
        </w:rPr>
        <w:t>-</w:t>
      </w:r>
      <w:r w:rsidR="00DC6F68" w:rsidRPr="009702B3">
        <w:rPr>
          <w:rFonts w:asciiTheme="minorHAnsi" w:hAnsiTheme="minorHAnsi"/>
          <w:bCs/>
          <w:iCs/>
        </w:rPr>
        <w:t xml:space="preserve"> Opis projektu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sectPr w:rsidR="00454ADA" w:rsidSect="00F4420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061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D72F45" w:rsidRDefault="00D72F45" w:rsidP="00D72F4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DB42B1" w:rsidRDefault="00DB42B1" w:rsidP="00DB42B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DB42B1" w:rsidRDefault="00DB42B1" w:rsidP="00DB42B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92497"/>
    <w:multiLevelType w:val="hybridMultilevel"/>
    <w:tmpl w:val="9732E9D0"/>
    <w:lvl w:ilvl="0" w:tplc="419A2F08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0"/>
  </w:num>
  <w:num w:numId="8">
    <w:abstractNumId w:val="32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31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  <w:num w:numId="32">
    <w:abstractNumId w:val="28"/>
  </w:num>
  <w:num w:numId="33">
    <w:abstractNumId w:val="2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0CB0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10D6"/>
    <w:rsid w:val="0016406A"/>
    <w:rsid w:val="00166324"/>
    <w:rsid w:val="001760A1"/>
    <w:rsid w:val="00182A12"/>
    <w:rsid w:val="00184179"/>
    <w:rsid w:val="00190281"/>
    <w:rsid w:val="0019181B"/>
    <w:rsid w:val="001A48D2"/>
    <w:rsid w:val="001A4AA9"/>
    <w:rsid w:val="001B07A5"/>
    <w:rsid w:val="001B1585"/>
    <w:rsid w:val="001B5681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15061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4EE3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0C6F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C6168"/>
    <w:rsid w:val="003D0883"/>
    <w:rsid w:val="003D0F32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634D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032F8"/>
    <w:rsid w:val="00610812"/>
    <w:rsid w:val="0062456D"/>
    <w:rsid w:val="006322F4"/>
    <w:rsid w:val="00634B7F"/>
    <w:rsid w:val="0064229B"/>
    <w:rsid w:val="0064560E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264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441B7"/>
    <w:rsid w:val="00852EB3"/>
    <w:rsid w:val="0086151A"/>
    <w:rsid w:val="008726EB"/>
    <w:rsid w:val="008802B7"/>
    <w:rsid w:val="00896B75"/>
    <w:rsid w:val="008A01C9"/>
    <w:rsid w:val="008A3A69"/>
    <w:rsid w:val="008A448C"/>
    <w:rsid w:val="008B1F86"/>
    <w:rsid w:val="009125E4"/>
    <w:rsid w:val="00930453"/>
    <w:rsid w:val="00942160"/>
    <w:rsid w:val="009446DF"/>
    <w:rsid w:val="009702B3"/>
    <w:rsid w:val="00981E8D"/>
    <w:rsid w:val="00982DF6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9420F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2F45"/>
    <w:rsid w:val="00D77B6A"/>
    <w:rsid w:val="00D80C37"/>
    <w:rsid w:val="00D811DD"/>
    <w:rsid w:val="00D846A6"/>
    <w:rsid w:val="00D95256"/>
    <w:rsid w:val="00DB0E80"/>
    <w:rsid w:val="00DB42B1"/>
    <w:rsid w:val="00DC5798"/>
    <w:rsid w:val="00DC6870"/>
    <w:rsid w:val="00DC6F68"/>
    <w:rsid w:val="00DE11D5"/>
    <w:rsid w:val="00DE151E"/>
    <w:rsid w:val="00DF361F"/>
    <w:rsid w:val="00DF5758"/>
    <w:rsid w:val="00DF6199"/>
    <w:rsid w:val="00E21B69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62F13"/>
    <w:rsid w:val="00F63124"/>
    <w:rsid w:val="00F70989"/>
    <w:rsid w:val="00F875B0"/>
    <w:rsid w:val="00F97977"/>
    <w:rsid w:val="00FB04BF"/>
    <w:rsid w:val="00FB5F38"/>
    <w:rsid w:val="00FB7FF9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72F45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72F45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optp.vlada.gov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5504-A8A6-4884-9E92-74DE4F05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2017-06-06T08:58:00Z</dcterms:modified>
</cp:coreProperties>
</file>