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2650C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4C788B" w:rsidRPr="002B3A70">
        <w:rPr>
          <w:rFonts w:ascii="Times New Roman" w:hAnsi="Times New Roman"/>
        </w:rPr>
        <w:t>OPTP-P</w:t>
      </w:r>
      <w:r w:rsidR="004C788B">
        <w:rPr>
          <w:rFonts w:ascii="Times New Roman" w:hAnsi="Times New Roman"/>
        </w:rPr>
        <w:t>O2</w:t>
      </w:r>
      <w:r w:rsidR="004C788B" w:rsidRPr="002B3A70">
        <w:rPr>
          <w:rFonts w:ascii="Times New Roman" w:hAnsi="Times New Roman"/>
        </w:rPr>
        <w:t>-SC</w:t>
      </w:r>
      <w:r w:rsidR="004C788B">
        <w:rPr>
          <w:rFonts w:ascii="Times New Roman" w:hAnsi="Times New Roman"/>
        </w:rPr>
        <w:t>1</w:t>
      </w:r>
      <w:r w:rsidR="004C788B" w:rsidRPr="002B3A70">
        <w:rPr>
          <w:rFonts w:ascii="Times New Roman" w:hAnsi="Times New Roman"/>
        </w:rPr>
        <w:t>-2016-</w:t>
      </w:r>
      <w:r w:rsidR="004C788B">
        <w:rPr>
          <w:rFonts w:ascii="Times New Roman" w:hAnsi="Times New Roman"/>
        </w:rPr>
        <w:t>10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4C788B" w:rsidRPr="004C788B">
        <w:rPr>
          <w:bCs/>
          <w:sz w:val="24"/>
          <w:szCs w:val="24"/>
        </w:rPr>
        <w:t>OPTP-PO2-SC1-2016-10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C788B" w:rsidRPr="004C788B">
        <w:rPr>
          <w:bCs/>
          <w:sz w:val="24"/>
          <w:szCs w:val="24"/>
        </w:rPr>
        <w:t>Materiálno-technické zabezpečenie a mobilita subjektov zapojených do EŠIF, informačno-komunikačné technológie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C788B">
        <w:rPr>
          <w:bCs/>
          <w:sz w:val="24"/>
          <w:szCs w:val="24"/>
        </w:rPr>
        <w:t>31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4861AC" w:rsidRPr="00EE719A" w:rsidRDefault="004861AC" w:rsidP="004861AC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4861AC" w:rsidRDefault="004861AC" w:rsidP="004861AC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F01856" w:rsidRPr="003E0CF5" w:rsidRDefault="00F01856" w:rsidP="00F01856">
      <w:pPr>
        <w:spacing w:before="180" w:after="120" w:line="240" w:lineRule="auto"/>
        <w:jc w:val="both"/>
        <w:rPr>
          <w:rFonts w:asciiTheme="minorHAnsi" w:eastAsia="Times New Roman" w:hAnsiTheme="minorHAnsi"/>
          <w:b/>
          <w:lang w:eastAsia="sk-SK"/>
        </w:rPr>
      </w:pPr>
      <w:r w:rsidRPr="003E0CF5">
        <w:rPr>
          <w:rFonts w:asciiTheme="minorHAnsi" w:eastAsia="Times New Roman" w:hAnsiTheme="minorHAnsi"/>
          <w:b/>
          <w:lang w:eastAsia="sk-SK"/>
        </w:rPr>
        <w:t>301020011A021 – E. Materiálno - technické zabezpečenie a mobilita subjektov zapojených do riadenia, implementácie, finančného riadenia, kontroly a auditu EŠIF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vlády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centrálny koordinačný orgán (do 31.5.2016)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Riadiaci orgán pre operačný program Technická pomoc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platobná jednotka pre OP TP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ostatné útvary zabezpečujúce oprávnené činnosti pre potreby subjektov zapojených do EŠIF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gestor HP UR (do 31.5.2016)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Národný orgán, národný kontaktný bod pre programy nadnárodnej spolupráce   a Európskej územnej spolupráce (NO a NKB pre PNS a EÚS)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prvostupňovej kontroly programov nadnárodnej spolupráce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útvar zabezpečujúci stratégiu riadenia a vzdelávanie AK EŠIF (od 15.5.2016)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OCKÚ OLAF</w:t>
      </w:r>
    </w:p>
    <w:p w:rsidR="00F01856" w:rsidRPr="00F01856" w:rsidRDefault="00F01856" w:rsidP="00F01856">
      <w:pPr>
        <w:tabs>
          <w:tab w:val="left" w:pos="317"/>
        </w:tabs>
        <w:spacing w:after="0" w:line="240" w:lineRule="auto"/>
        <w:ind w:left="1418"/>
        <w:jc w:val="both"/>
        <w:rPr>
          <w:rFonts w:asciiTheme="minorHAnsi" w:eastAsia="Times New Roman" w:hAnsiTheme="minorHAnsi"/>
          <w:lang w:eastAsia="sk-SK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podpredsedu vlády SR pre investície a informatizáciu</w:t>
      </w:r>
      <w:r w:rsidRPr="00F01856">
        <w:rPr>
          <w:rFonts w:asciiTheme="minorHAnsi" w:hAnsiTheme="minorHAnsi"/>
          <w:sz w:val="22"/>
          <w:szCs w:val="22"/>
          <w:vertAlign w:val="superscript"/>
        </w:rPr>
        <w:footnoteReference w:id="1"/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lastRenderedPageBreak/>
        <w:t>ako CKO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gestor HP UR (od 1.6.2016)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útvar zabezpečujúci strategické plánovanie a strategické riadenie investícií projektov financovaných z EŠIF (od 21.12.2016)</w:t>
      </w:r>
    </w:p>
    <w:p w:rsidR="00F01856" w:rsidRPr="00F01856" w:rsidRDefault="00F01856" w:rsidP="00F01856">
      <w:pPr>
        <w:pStyle w:val="Odsekzoznamu"/>
        <w:ind w:left="2084"/>
        <w:rPr>
          <w:rFonts w:asciiTheme="minorHAnsi" w:hAnsiTheme="minorHAnsi"/>
          <w:sz w:val="22"/>
          <w:szCs w:val="22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financií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certifikačný orgán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auditu</w:t>
      </w:r>
    </w:p>
    <w:p w:rsidR="00F01856" w:rsidRPr="00F01856" w:rsidRDefault="00F01856" w:rsidP="00F01856">
      <w:pPr>
        <w:pStyle w:val="Odsekzoznamu"/>
        <w:ind w:left="2084"/>
        <w:rPr>
          <w:rFonts w:asciiTheme="minorHAnsi" w:hAnsiTheme="minorHAnsi"/>
          <w:sz w:val="22"/>
          <w:szCs w:val="22"/>
        </w:rPr>
      </w:pP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Protimonopolný úrad Slovenskej republiky: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koordinátor štátnej pomoci</w:t>
      </w:r>
    </w:p>
    <w:p w:rsidR="00F01856" w:rsidRPr="00F01856" w:rsidRDefault="00F01856" w:rsidP="00F01856">
      <w:pPr>
        <w:pStyle w:val="Odsekzoznamu"/>
        <w:numPr>
          <w:ilvl w:val="2"/>
          <w:numId w:val="36"/>
        </w:numPr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ako orgán pre ochranu hospodárskej súťaže</w:t>
      </w:r>
    </w:p>
    <w:p w:rsidR="00F01856" w:rsidRPr="00F01856" w:rsidRDefault="00F01856" w:rsidP="00F01856">
      <w:pPr>
        <w:tabs>
          <w:tab w:val="left" w:pos="317"/>
        </w:tabs>
        <w:spacing w:after="0" w:line="240" w:lineRule="auto"/>
        <w:ind w:left="318" w:firstLine="435"/>
        <w:jc w:val="both"/>
      </w:pPr>
    </w:p>
    <w:p w:rsidR="00F01856" w:rsidRPr="00F01856" w:rsidRDefault="00F01856" w:rsidP="008D2483">
      <w:pPr>
        <w:pStyle w:val="Odsekzoznamu"/>
        <w:numPr>
          <w:ilvl w:val="0"/>
          <w:numId w:val="35"/>
        </w:numPr>
        <w:spacing w:after="240"/>
        <w:ind w:left="1701" w:hanging="357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 xml:space="preserve">Ministerstvo práce, sociálnych vecí a rodiny Slovenskej republiky ako gestor HP </w:t>
      </w:r>
      <w:proofErr w:type="spellStart"/>
      <w:r w:rsidRPr="00F01856">
        <w:rPr>
          <w:rFonts w:asciiTheme="minorHAnsi" w:hAnsiTheme="minorHAnsi"/>
          <w:sz w:val="22"/>
          <w:szCs w:val="22"/>
        </w:rPr>
        <w:t>RMŽaND</w:t>
      </w:r>
      <w:proofErr w:type="spellEnd"/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vládneho auditu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proofErr w:type="spellStart"/>
      <w:r w:rsidRPr="00F01856">
        <w:rPr>
          <w:rFonts w:asciiTheme="minorHAnsi" w:hAnsiTheme="minorHAnsi"/>
          <w:sz w:val="22"/>
          <w:szCs w:val="22"/>
        </w:rPr>
        <w:t>DataCentrum</w:t>
      </w:r>
      <w:proofErr w:type="spellEnd"/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Úrad pre verejné obstarávanie</w:t>
      </w:r>
    </w:p>
    <w:p w:rsidR="00F01856" w:rsidRP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Najvyšší kontrolný úrad Slovenskej republiky</w:t>
      </w:r>
    </w:p>
    <w:p w:rsidR="00F01856" w:rsidRDefault="00F01856" w:rsidP="00F01856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F01856">
        <w:rPr>
          <w:rFonts w:asciiTheme="minorHAnsi" w:hAnsiTheme="minorHAnsi"/>
          <w:sz w:val="22"/>
          <w:szCs w:val="22"/>
        </w:rPr>
        <w:t>Ministerstvo zahraničných vecí a európskych záležitostí Slovenskej republiky</w:t>
      </w:r>
    </w:p>
    <w:p w:rsidR="002650C8" w:rsidRPr="002650C8" w:rsidRDefault="002650C8" w:rsidP="002650C8">
      <w:pPr>
        <w:pStyle w:val="Odsekzoznamu"/>
        <w:numPr>
          <w:ilvl w:val="0"/>
          <w:numId w:val="35"/>
        </w:numPr>
        <w:spacing w:before="240" w:after="240"/>
        <w:ind w:left="1701"/>
        <w:jc w:val="both"/>
        <w:rPr>
          <w:rFonts w:asciiTheme="minorHAnsi" w:hAnsiTheme="minorHAnsi"/>
          <w:sz w:val="22"/>
          <w:szCs w:val="22"/>
        </w:rPr>
      </w:pPr>
      <w:r w:rsidRPr="002650C8">
        <w:rPr>
          <w:rFonts w:asciiTheme="minorHAnsi" w:hAnsiTheme="minorHAnsi"/>
          <w:sz w:val="22"/>
          <w:szCs w:val="22"/>
        </w:rPr>
        <w:t>Ministerstvo vnútra SR ako koordinátor HP MRK</w:t>
      </w:r>
      <w:r>
        <w:rPr>
          <w:rFonts w:asciiTheme="minorHAnsi" w:hAnsiTheme="minorHAnsi"/>
          <w:sz w:val="22"/>
          <w:szCs w:val="22"/>
        </w:rPr>
        <w:t xml:space="preserve"> (od 2.11.2017)</w:t>
      </w:r>
    </w:p>
    <w:p w:rsidR="004861AC" w:rsidRDefault="004861AC" w:rsidP="004861A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4861AC" w:rsidRDefault="002650C8" w:rsidP="002650C8">
      <w:pPr>
        <w:spacing w:before="240" w:after="240"/>
        <w:jc w:val="both"/>
        <w:rPr>
          <w:i/>
        </w:rPr>
      </w:pPr>
      <w:r w:rsidRPr="002650C8">
        <w:rPr>
          <w:i/>
        </w:rPr>
        <w:t xml:space="preserve">Úrad splnomocnenca vlády SR pre rómske komunity vykonáva od 01. 01. 2016 následné činnosti koordinátora horizontálnej priority </w:t>
      </w:r>
      <w:proofErr w:type="spellStart"/>
      <w:r w:rsidRPr="002650C8">
        <w:rPr>
          <w:i/>
        </w:rPr>
        <w:t>Marginalizované</w:t>
      </w:r>
      <w:proofErr w:type="spellEnd"/>
      <w:r w:rsidRPr="002650C8">
        <w:rPr>
          <w:i/>
        </w:rPr>
        <w:t xml:space="preserve"> rómske komunity (ďalej len „HP MRK“). V rámci výkonu následných činností je koordinátor HP MRK po dohode s riadiacimi orgánmi (ROP,OP ŽP,OPV,OP </w:t>
      </w:r>
      <w:proofErr w:type="spellStart"/>
      <w:r w:rsidRPr="002650C8">
        <w:rPr>
          <w:i/>
        </w:rPr>
        <w:t>ZaSI</w:t>
      </w:r>
      <w:proofErr w:type="spellEnd"/>
      <w:r w:rsidRPr="002650C8">
        <w:rPr>
          <w:i/>
        </w:rPr>
        <w:t xml:space="preserve">, OP </w:t>
      </w:r>
      <w:proofErr w:type="spellStart"/>
      <w:r w:rsidRPr="002650C8">
        <w:rPr>
          <w:i/>
        </w:rPr>
        <w:t>KaHR</w:t>
      </w:r>
      <w:proofErr w:type="spellEnd"/>
      <w:r w:rsidRPr="002650C8">
        <w:rPr>
          <w:i/>
        </w:rPr>
        <w:t>) prizývaný ako povinná osoba na kontroly na mieste projektov s ukončenou realizáciou, financovaných z alokácie pre Lokálnu stratégiu komplexného prístupu (ďalej „</w:t>
      </w:r>
      <w:proofErr w:type="spellStart"/>
      <w:r w:rsidRPr="002650C8">
        <w:rPr>
          <w:i/>
        </w:rPr>
        <w:t>LSKxP</w:t>
      </w:r>
      <w:proofErr w:type="spellEnd"/>
      <w:r w:rsidRPr="002650C8">
        <w:rPr>
          <w:i/>
        </w:rPr>
        <w:t xml:space="preserve">“). Vzhľadom na to, že realizácia niektorých projektov financovaných z alokácie pre </w:t>
      </w:r>
      <w:proofErr w:type="spellStart"/>
      <w:r w:rsidRPr="002650C8">
        <w:rPr>
          <w:i/>
        </w:rPr>
        <w:t>LSKxP</w:t>
      </w:r>
      <w:proofErr w:type="spellEnd"/>
      <w:r w:rsidRPr="002650C8">
        <w:rPr>
          <w:i/>
        </w:rPr>
        <w:t xml:space="preserve"> bola ukončená až v roku 2016, ukončenie obdobia 5 ročnej udržateľnosti je v niektorých prípadoch pre</w:t>
      </w:r>
      <w:r>
        <w:rPr>
          <w:i/>
        </w:rPr>
        <w:t xml:space="preserve">dpokladané  do konca roku 2021. </w:t>
      </w:r>
      <w:r w:rsidRPr="002650C8">
        <w:rPr>
          <w:i/>
        </w:rPr>
        <w:t>Z dôvodu, že uvedené aktivity (výdavky na pracovné cesty pri kontrole projektu) nebolo možné financovať z OP TP v rámci aktivít, pri ktorých je MV SR ako koordinátor HP MRK oprávneným prijímateľom, požiadal koordinátor HP MRK o zaradenie medzi oprávnených prijímateľov prioritnej osi 2, špecifického cieľa 1, aktivity E. Materiálno-technické zabezpečenie a mobilita subjektov zapojených do riadenia, implementácie, finančného riadenia, kontrola a auditu EŠIF za účelom zabezpečenia finančných prostriedkov na realizáciu týchto aktivít v zmysle schválen</w:t>
      </w:r>
      <w:r>
        <w:rPr>
          <w:i/>
        </w:rPr>
        <w:t>ého rozpočtu zo strany RO OP TP. MV pre OP TP schválil zaradenie koordinátora HP MRK do uvedenej aktivity Uznesením MV pre OP TP č. 8/2017 zo dňa 2.11.2017.</w:t>
      </w:r>
      <w:r w:rsidR="00E642EE">
        <w:rPr>
          <w:i/>
        </w:rPr>
        <w:t xml:space="preserve"> </w:t>
      </w:r>
    </w:p>
    <w:p w:rsidR="00E642EE" w:rsidRPr="00663983" w:rsidRDefault="00E642EE" w:rsidP="00E642EE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663983" w:rsidRDefault="004861AC" w:rsidP="004861AC">
      <w:pPr>
        <w:jc w:val="both"/>
        <w:rPr>
          <w:i/>
        </w:rPr>
      </w:pPr>
    </w:p>
    <w:p w:rsidR="006A4631" w:rsidRPr="00261637" w:rsidRDefault="006A4631" w:rsidP="006A4631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6A4631" w:rsidRDefault="006A4631" w:rsidP="006A4631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6A4631" w:rsidRDefault="006A4631" w:rsidP="006A4631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Zoznam ukazovateľov bol v rámci aktivity </w:t>
      </w:r>
      <w:r w:rsidRPr="003E0CF5">
        <w:rPr>
          <w:rFonts w:asciiTheme="minorHAnsi" w:eastAsia="Times New Roman" w:hAnsiTheme="minorHAnsi"/>
          <w:b/>
          <w:lang w:eastAsia="sk-SK"/>
        </w:rPr>
        <w:t>301020011A021 – E. Materiálno - technické zabezpečenie a mobilita subjektov zapojených do riadenia, implementácie, finančného riadenia, kontroly a auditu EŠIF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color w:val="000000"/>
        </w:rPr>
        <w:t xml:space="preserve">aktualizovaný nasledovne: </w:t>
      </w:r>
    </w:p>
    <w:p w:rsidR="006A4631" w:rsidRDefault="006A4631" w:rsidP="006A4631">
      <w:pPr>
        <w:spacing w:after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P0757 - </w:t>
      </w:r>
      <w:r w:rsidRPr="006A4631">
        <w:rPr>
          <w:rFonts w:asciiTheme="minorHAnsi" w:hAnsiTheme="minorHAnsi"/>
          <w:color w:val="000000"/>
        </w:rPr>
        <w:t>Počet zakúpeného MTZ</w:t>
      </w:r>
      <w:r>
        <w:rPr>
          <w:rFonts w:asciiTheme="minorHAnsi" w:hAnsiTheme="minorHAnsi"/>
          <w:color w:val="000000"/>
        </w:rPr>
        <w:t xml:space="preserve"> – aktualizácia definície ukazovateľa: </w:t>
      </w:r>
      <w:r w:rsidRPr="006A4631">
        <w:rPr>
          <w:rFonts w:asciiTheme="minorHAnsi" w:hAnsiTheme="minorHAnsi"/>
          <w:color w:val="000000"/>
        </w:rPr>
        <w:t>Celkový kumulatívny počet zakúpeného MTZ (napr. počet zakúpených automobilov, pri nábytku počet zamestnancov vybavených nábytkom, počet počítačov, tlačiarní a pod...) v rámci daného projektu.</w:t>
      </w:r>
      <w:r>
        <w:rPr>
          <w:rFonts w:asciiTheme="minorHAnsi" w:hAnsiTheme="minorHAnsi"/>
          <w:color w:val="000000"/>
        </w:rPr>
        <w:t xml:space="preserve"> </w:t>
      </w:r>
    </w:p>
    <w:p w:rsidR="006A4631" w:rsidRDefault="006A4631" w:rsidP="006A4631">
      <w:pPr>
        <w:spacing w:after="0"/>
        <w:jc w:val="both"/>
        <w:rPr>
          <w:rFonts w:asciiTheme="minorHAnsi" w:hAnsiTheme="minorHAnsi"/>
          <w:color w:val="000000"/>
        </w:rPr>
      </w:pPr>
      <w:r w:rsidRPr="006A4631">
        <w:rPr>
          <w:rFonts w:asciiTheme="minorHAnsi" w:hAnsiTheme="minorHAnsi"/>
          <w:color w:val="000000"/>
        </w:rPr>
        <w:t>D0237</w:t>
      </w:r>
      <w:r>
        <w:rPr>
          <w:rFonts w:asciiTheme="minorHAnsi" w:hAnsiTheme="minorHAnsi"/>
          <w:color w:val="000000"/>
        </w:rPr>
        <w:t xml:space="preserve"> - iné údaje - </w:t>
      </w:r>
      <w:r w:rsidRPr="006A4631">
        <w:rPr>
          <w:rFonts w:asciiTheme="minorHAnsi" w:hAnsiTheme="minorHAnsi"/>
          <w:color w:val="000000"/>
        </w:rPr>
        <w:t xml:space="preserve">počet refundovaných pozícií z TP </w:t>
      </w:r>
      <w:r>
        <w:rPr>
          <w:rFonts w:asciiTheme="minorHAnsi" w:hAnsiTheme="minorHAnsi"/>
          <w:color w:val="000000"/>
        </w:rPr>
        <w:t xml:space="preserve">- aktualizácia definície: </w:t>
      </w:r>
      <w:r w:rsidRPr="006A4631">
        <w:rPr>
          <w:rFonts w:asciiTheme="minorHAnsi" w:hAnsiTheme="minorHAnsi"/>
          <w:color w:val="000000"/>
        </w:rPr>
        <w:t xml:space="preserve">Priemerný počet pozícií, ktoré sú refundované z OP TP/z technickej pomoci OP počas realizácie aktivít projektu. Viacero pozícií vykonávaných  jednou osobou súčasne je započítaných ako jedna pozícia. </w:t>
      </w:r>
    </w:p>
    <w:p w:rsidR="006A4631" w:rsidRPr="00741FA1" w:rsidRDefault="006A4631" w:rsidP="006A4631">
      <w:pPr>
        <w:spacing w:before="120"/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4861AC" w:rsidRPr="006A4631" w:rsidRDefault="006A4631" w:rsidP="006A4631">
      <w:pPr>
        <w:pStyle w:val="Odsekzoznamu1"/>
        <w:keepNext/>
        <w:spacing w:before="240" w:after="240" w:line="276" w:lineRule="auto"/>
        <w:ind w:left="0"/>
        <w:jc w:val="both"/>
        <w:rPr>
          <w:rFonts w:ascii="Calibri" w:hAnsi="Calibri"/>
          <w:i/>
          <w:sz w:val="22"/>
          <w:szCs w:val="22"/>
          <w:lang w:eastAsia="en-US"/>
        </w:rPr>
      </w:pPr>
      <w:r w:rsidRPr="006A4631">
        <w:rPr>
          <w:rFonts w:ascii="Calibri" w:hAnsi="Calibri"/>
          <w:i/>
          <w:sz w:val="22"/>
          <w:szCs w:val="22"/>
          <w:lang w:eastAsia="en-US"/>
        </w:rPr>
        <w:t>RO OP TP aktualizoval zoznam merateľných ukazovateľov z dôvodu zosúladenia s aktualizáciou č. 12 Číselníka merateľných ukazovateľov.</w:t>
      </w:r>
    </w:p>
    <w:p w:rsidR="004861AC" w:rsidRDefault="004861AC" w:rsidP="004861AC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4861AC" w:rsidRPr="000C497E" w:rsidRDefault="004861AC" w:rsidP="004861AC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4861AC" w:rsidRDefault="004861AC" w:rsidP="004861AC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7A7131">
        <w:rPr>
          <w:b/>
          <w:color w:val="000000"/>
        </w:rPr>
        <w:t>1</w:t>
      </w:r>
      <w:r w:rsidRPr="00650A97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8D3DB5">
        <w:rPr>
          <w:b/>
          <w:color w:val="000000"/>
        </w:rPr>
        <w:t>1</w:t>
      </w:r>
      <w:r w:rsidR="007A7131">
        <w:rPr>
          <w:b/>
          <w:color w:val="000000"/>
        </w:rPr>
        <w:t>2</w:t>
      </w:r>
      <w:bookmarkStart w:id="0" w:name="_GoBack"/>
      <w:bookmarkEnd w:id="0"/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4861AC" w:rsidRDefault="004861AC" w:rsidP="004861AC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861AC" w:rsidRDefault="004861AC" w:rsidP="004861AC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861AC" w:rsidRDefault="004861AC" w:rsidP="004861AC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4861AC" w:rsidRPr="008D3DB5" w:rsidRDefault="004861AC" w:rsidP="009D648C">
      <w:pPr>
        <w:spacing w:after="0"/>
        <w:jc w:val="both"/>
        <w:rPr>
          <w:rStyle w:val="Hypertextovprepojenie"/>
          <w:rFonts w:asciiTheme="minorHAnsi" w:hAnsiTheme="minorHAnsi"/>
          <w:bCs/>
          <w:iCs/>
          <w:color w:val="auto"/>
          <w:u w:val="none"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sectPr w:rsidR="004861AC" w:rsidRPr="008D3DB5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131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BA60E0" wp14:editId="29232B1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82622" wp14:editId="161BC2F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F01856" w:rsidRDefault="00F01856" w:rsidP="00F01856">
      <w:pPr>
        <w:pStyle w:val="Textpoznmkypodiarou"/>
        <w:jc w:val="both"/>
      </w:pPr>
      <w:r w:rsidRPr="00304E92">
        <w:rPr>
          <w:rStyle w:val="Odkaznapoznmkupodiarou"/>
        </w:rPr>
        <w:footnoteRef/>
      </w:r>
      <w:r w:rsidRPr="00304E92">
        <w:t xml:space="preserve"> V zmysle zákona 171/2016, ktorým sa mení a dopĺňa zákon č. </w:t>
      </w:r>
      <w:hyperlink r:id="rId1" w:tooltip="Odkaz na predpis alebo ustanovenie" w:history="1">
        <w:r w:rsidRPr="00304E92">
          <w:t>575/2001 Z. z.</w:t>
        </w:r>
      </w:hyperlink>
      <w:r w:rsidRPr="00304E92">
        <w:t xml:space="preserve"> o organizácii činnosti vlády a organizácii ústrednej štátnej správy v znení neskorších predpisov a ktorým sa menia a dopĺňajú niektoré zákony,  prechádzajú pôsobnosti v oblasti koordinácie využívania finančných prostriedkov z fondov Európskej únie z Úradu vlády Slovenskej republiky na Úrad podpredsedu vlády Slovenskej republiky pre investície a informatizáciu od 1.6.2016</w:t>
      </w:r>
      <w:r>
        <w:rPr>
          <w:color w:val="00000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D2FE994" wp14:editId="6220D5E3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66EB6"/>
    <w:multiLevelType w:val="hybridMultilevel"/>
    <w:tmpl w:val="243EC2EE"/>
    <w:lvl w:ilvl="0" w:tplc="8C6CB4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92497"/>
    <w:multiLevelType w:val="hybridMultilevel"/>
    <w:tmpl w:val="9732E9D0"/>
    <w:lvl w:ilvl="0" w:tplc="419A2F08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5">
    <w:nsid w:val="7CC15D1F"/>
    <w:multiLevelType w:val="hybridMultilevel"/>
    <w:tmpl w:val="4B4E776C"/>
    <w:lvl w:ilvl="0" w:tplc="8C6CB4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4"/>
  </w:num>
  <w:num w:numId="6">
    <w:abstractNumId w:val="11"/>
  </w:num>
  <w:num w:numId="7">
    <w:abstractNumId w:val="21"/>
  </w:num>
  <w:num w:numId="8">
    <w:abstractNumId w:val="33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6"/>
  </w:num>
  <w:num w:numId="14">
    <w:abstractNumId w:val="4"/>
  </w:num>
  <w:num w:numId="15">
    <w:abstractNumId w:val="5"/>
  </w:num>
  <w:num w:numId="16">
    <w:abstractNumId w:val="16"/>
  </w:num>
  <w:num w:numId="17">
    <w:abstractNumId w:val="25"/>
  </w:num>
  <w:num w:numId="18">
    <w:abstractNumId w:val="31"/>
  </w:num>
  <w:num w:numId="19">
    <w:abstractNumId w:val="9"/>
  </w:num>
  <w:num w:numId="20">
    <w:abstractNumId w:val="27"/>
  </w:num>
  <w:num w:numId="21">
    <w:abstractNumId w:val="10"/>
  </w:num>
  <w:num w:numId="22">
    <w:abstractNumId w:val="15"/>
  </w:num>
  <w:num w:numId="23">
    <w:abstractNumId w:val="22"/>
  </w:num>
  <w:num w:numId="24">
    <w:abstractNumId w:val="8"/>
  </w:num>
  <w:num w:numId="25">
    <w:abstractNumId w:val="14"/>
  </w:num>
  <w:num w:numId="26">
    <w:abstractNumId w:val="3"/>
  </w:num>
  <w:num w:numId="27">
    <w:abstractNumId w:val="32"/>
  </w:num>
  <w:num w:numId="28">
    <w:abstractNumId w:val="1"/>
  </w:num>
  <w:num w:numId="29">
    <w:abstractNumId w:val="17"/>
  </w:num>
  <w:num w:numId="30">
    <w:abstractNumId w:val="12"/>
  </w:num>
  <w:num w:numId="31">
    <w:abstractNumId w:val="19"/>
  </w:num>
  <w:num w:numId="32">
    <w:abstractNumId w:val="29"/>
  </w:num>
  <w:num w:numId="33">
    <w:abstractNumId w:val="28"/>
  </w:num>
  <w:num w:numId="34">
    <w:abstractNumId w:val="26"/>
  </w:num>
  <w:num w:numId="35">
    <w:abstractNumId w:val="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C0B01"/>
    <w:rsid w:val="001C2288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650C8"/>
    <w:rsid w:val="002777A8"/>
    <w:rsid w:val="00286AE6"/>
    <w:rsid w:val="002952E1"/>
    <w:rsid w:val="00296481"/>
    <w:rsid w:val="002A5716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861AC"/>
    <w:rsid w:val="00491051"/>
    <w:rsid w:val="00496D8C"/>
    <w:rsid w:val="004A3880"/>
    <w:rsid w:val="004A420E"/>
    <w:rsid w:val="004C788B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50A97"/>
    <w:rsid w:val="006652D6"/>
    <w:rsid w:val="00675178"/>
    <w:rsid w:val="0069226A"/>
    <w:rsid w:val="006937F7"/>
    <w:rsid w:val="006A45B7"/>
    <w:rsid w:val="006A4631"/>
    <w:rsid w:val="006A6E11"/>
    <w:rsid w:val="006C39F2"/>
    <w:rsid w:val="006C4A28"/>
    <w:rsid w:val="006D1E8B"/>
    <w:rsid w:val="006D39B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A7131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8D2483"/>
    <w:rsid w:val="008D3DB5"/>
    <w:rsid w:val="009125E4"/>
    <w:rsid w:val="00930453"/>
    <w:rsid w:val="00942160"/>
    <w:rsid w:val="009446DF"/>
    <w:rsid w:val="009736EF"/>
    <w:rsid w:val="00981E8D"/>
    <w:rsid w:val="00992988"/>
    <w:rsid w:val="009A02E9"/>
    <w:rsid w:val="009C2449"/>
    <w:rsid w:val="009D0DD2"/>
    <w:rsid w:val="009D648C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098D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E54EF"/>
    <w:rsid w:val="00CF13BE"/>
    <w:rsid w:val="00CF428C"/>
    <w:rsid w:val="00CF549F"/>
    <w:rsid w:val="00D15FB0"/>
    <w:rsid w:val="00D16C26"/>
    <w:rsid w:val="00D4322C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642EE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1856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C0B53"/>
    <w:rsid w:val="00FD58AB"/>
    <w:rsid w:val="00FE3E48"/>
    <w:rsid w:val="00FF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4322C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4322C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1/57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6985-E2DA-4176-A292-B3E9B5EF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2017-04-21T08:36:00Z</dcterms:created>
  <dcterms:modified xsi:type="dcterms:W3CDTF">2017-11-28T10:08:00Z</dcterms:modified>
</cp:coreProperties>
</file>