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532D6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C532D6">
              <w:rPr>
                <w:rFonts w:asciiTheme="minorHAnsi" w:hAnsiTheme="minorHAnsi" w:cstheme="minorHAnsi"/>
                <w:bCs/>
                <w:smallCaps/>
                <w:spacing w:val="60"/>
              </w:rPr>
              <w:t>prijímateľa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F54DCA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C532D6">
              <w:rPr>
                <w:rFonts w:asciiTheme="minorHAnsi" w:hAnsiTheme="minorHAnsi" w:cstheme="minorHAnsi"/>
                <w:caps w:val="0"/>
                <w:szCs w:val="28"/>
              </w:rPr>
              <w:t>prijímateľa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F54DCA">
              <w:rPr>
                <w:rFonts w:asciiTheme="minorHAnsi" w:hAnsiTheme="minorHAnsi" w:cstheme="minorHAnsi"/>
                <w:caps w:val="0"/>
                <w:szCs w:val="28"/>
              </w:rPr>
              <w:t>7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AA541C" w:rsidRPr="003142FD" w:rsidTr="001A1258">
        <w:trPr>
          <w:trHeight w:val="428"/>
        </w:trPr>
        <w:tc>
          <w:tcPr>
            <w:tcW w:w="1277" w:type="dxa"/>
          </w:tcPr>
          <w:p w:rsidR="00AA541C" w:rsidRDefault="00AA541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</w:t>
            </w:r>
          </w:p>
        </w:tc>
        <w:tc>
          <w:tcPr>
            <w:tcW w:w="3827" w:type="dxa"/>
          </w:tcPr>
          <w:p w:rsidR="00AA541C" w:rsidRPr="001165C8" w:rsidRDefault="00AA541C" w:rsidP="00AA541C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0" w:name="_Toc479772991"/>
            <w:r w:rsidRPr="00AA541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Spôsob komunikácie medzi Prijímateľom a  Poskytovateľom počas implementácie projektov</w:t>
            </w:r>
            <w:bookmarkEnd w:id="0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upravený spôsob prioritnej komunikácie medzi Poskytovateľom a Prijímateľom </w:t>
            </w:r>
          </w:p>
        </w:tc>
        <w:tc>
          <w:tcPr>
            <w:tcW w:w="3118" w:type="dxa"/>
          </w:tcPr>
          <w:p w:rsidR="00AA541C" w:rsidRDefault="0074764B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 w:rsidR="00AA541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zmysle zákona </w:t>
            </w:r>
            <w:r w:rsidR="00AA541C" w:rsidRPr="00AA541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č. 305/2013 Z. z. o elektronickej podobe výkonu pôsobnosti orgánov verejnej moci</w:t>
            </w:r>
            <w:r w:rsidR="00AA541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potreby RO OP TP</w:t>
            </w:r>
          </w:p>
        </w:tc>
        <w:tc>
          <w:tcPr>
            <w:tcW w:w="1985" w:type="dxa"/>
          </w:tcPr>
          <w:p w:rsidR="00AA541C" w:rsidRDefault="001A1258" w:rsidP="001A1258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0F323E" w:rsidRPr="003142FD" w:rsidTr="00302815">
        <w:trPr>
          <w:trHeight w:val="428"/>
        </w:trPr>
        <w:tc>
          <w:tcPr>
            <w:tcW w:w="1277" w:type="dxa"/>
          </w:tcPr>
          <w:p w:rsidR="000F323E" w:rsidRDefault="001165C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4.3.3.2</w:t>
            </w:r>
          </w:p>
        </w:tc>
        <w:tc>
          <w:tcPr>
            <w:tcW w:w="3827" w:type="dxa"/>
          </w:tcPr>
          <w:p w:rsidR="000F323E" w:rsidRPr="00CB5F2B" w:rsidRDefault="001165C8" w:rsidP="00E30087">
            <w:pPr>
              <w:spacing w:before="60" w:after="0"/>
              <w:jc w:val="left"/>
              <w:rPr>
                <w:rFonts w:asciiTheme="minorHAnsi" w:hAnsiTheme="minorHAnsi" w:cstheme="minorHAnsi"/>
                <w:bCs/>
                <w:i/>
                <w:caps w:val="0"/>
                <w:sz w:val="18"/>
                <w:szCs w:val="18"/>
              </w:rPr>
            </w:pPr>
            <w:bookmarkStart w:id="1" w:name="_Toc479773002"/>
            <w:r w:rsidRPr="001165C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Dokumentácia k žiadosti o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Pr="001165C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platbu</w:t>
            </w:r>
            <w:bookmarkEnd w:id="1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poznámky pod čiarou č. 7 – alokačné kritérium schvaľuje RO OP TP</w:t>
            </w:r>
            <w:r w:rsidR="00E3008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</w:p>
        </w:tc>
        <w:tc>
          <w:tcPr>
            <w:tcW w:w="3118" w:type="dxa"/>
          </w:tcPr>
          <w:p w:rsidR="000F323E" w:rsidRDefault="0060536D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 w:rsidR="00AB08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zmysle potreby RO OP TP</w:t>
            </w:r>
          </w:p>
        </w:tc>
        <w:tc>
          <w:tcPr>
            <w:tcW w:w="1985" w:type="dxa"/>
          </w:tcPr>
          <w:p w:rsidR="000F323E" w:rsidRDefault="001A1258" w:rsidP="001A1258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4.3.3.2</w:t>
            </w:r>
          </w:p>
        </w:tc>
        <w:tc>
          <w:tcPr>
            <w:tcW w:w="3827" w:type="dxa"/>
          </w:tcPr>
          <w:p w:rsidR="001A1258" w:rsidRPr="001165C8" w:rsidRDefault="001A1258" w:rsidP="001165C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 o podpornej dokumentácii, ktorá sa nepredkladá cez portál ITMS</w:t>
            </w:r>
          </w:p>
        </w:tc>
        <w:tc>
          <w:tcPr>
            <w:tcW w:w="3118" w:type="dxa"/>
          </w:tcPr>
          <w:p w:rsidR="001A1258" w:rsidRDefault="001A1258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1A1258" w:rsidRPr="001A1258" w:rsidRDefault="001A1258" w:rsidP="001A1258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4.3.3.2</w:t>
            </w:r>
          </w:p>
        </w:tc>
        <w:tc>
          <w:tcPr>
            <w:tcW w:w="3827" w:type="dxa"/>
          </w:tcPr>
          <w:p w:rsidR="001A1258" w:rsidRPr="001165C8" w:rsidRDefault="001A1258" w:rsidP="00E3008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časti Cestovné náhrady – doplnenie informácie o sumarizačnom hárku a o spôsobe jeho vyplnenia, doplnenie poznámky pod čiarou č. 15 o neoprávnenosti vreckového</w:t>
            </w:r>
          </w:p>
        </w:tc>
        <w:tc>
          <w:tcPr>
            <w:tcW w:w="3118" w:type="dxa"/>
          </w:tcPr>
          <w:p w:rsidR="001A1258" w:rsidRDefault="001A1258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</w:t>
            </w:r>
            <w:bookmarkStart w:id="2" w:name="_GoBack"/>
            <w:bookmarkEnd w:id="2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y RO OP TP</w:t>
            </w:r>
          </w:p>
        </w:tc>
        <w:tc>
          <w:tcPr>
            <w:tcW w:w="1985" w:type="dxa"/>
          </w:tcPr>
          <w:p w:rsidR="001A1258" w:rsidRPr="001A1258" w:rsidRDefault="001A1258" w:rsidP="001A1258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995718" w:rsidRPr="003142FD" w:rsidTr="00302815">
        <w:trPr>
          <w:trHeight w:val="428"/>
        </w:trPr>
        <w:tc>
          <w:tcPr>
            <w:tcW w:w="1277" w:type="dxa"/>
          </w:tcPr>
          <w:p w:rsidR="00995718" w:rsidRDefault="0099571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4.4.1</w:t>
            </w:r>
          </w:p>
        </w:tc>
        <w:tc>
          <w:tcPr>
            <w:tcW w:w="3827" w:type="dxa"/>
          </w:tcPr>
          <w:p w:rsidR="00995718" w:rsidRPr="000746DB" w:rsidRDefault="00995718" w:rsidP="0008432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0746D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Monitorovanie počas realizácie projektov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</w:t>
            </w:r>
            <w:r w:rsidR="0080597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aktualizácia textu 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pojmu </w:t>
            </w:r>
            <w:r w:rsidR="00B75FE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imoriadnej monitorovacej správy, ktorú je </w:t>
            </w:r>
            <w:r w:rsidR="00B75FE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rijímateľ povinný predložiť , </w:t>
            </w:r>
            <w:r w:rsidRPr="0099571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ak nebola podaná </w:t>
            </w:r>
            <w:proofErr w:type="spellStart"/>
            <w:r w:rsidRPr="0099571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99571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 </w:t>
            </w:r>
            <w:r w:rsidRPr="0099571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šesť mesiacov </w:t>
            </w:r>
            <w:r w:rsidR="006E365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od </w:t>
            </w:r>
            <w:r w:rsidR="006E365B" w:rsidRPr="006E365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nadobudnutia účinnosti Zmluvy o poskytnutí NFP a zároveň ešte neboli naplnené podmienky na zaslanie </w:t>
            </w:r>
            <w:r w:rsidR="006E365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výročnej </w:t>
            </w:r>
            <w:r w:rsidR="006E365B" w:rsidRPr="006E365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monitorovacej správy projektu</w:t>
            </w:r>
            <w:r w:rsidR="0008432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</w:p>
        </w:tc>
        <w:tc>
          <w:tcPr>
            <w:tcW w:w="3118" w:type="dxa"/>
          </w:tcPr>
          <w:p w:rsidR="00995718" w:rsidRDefault="006E365B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verzie č. 2 Vzoru CKO č. 31</w:t>
            </w:r>
            <w:r w:rsidR="0080597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Systému riadenia EŠIF, verzia 6.0</w:t>
            </w:r>
          </w:p>
        </w:tc>
        <w:tc>
          <w:tcPr>
            <w:tcW w:w="1985" w:type="dxa"/>
          </w:tcPr>
          <w:p w:rsidR="00995718" w:rsidRPr="00FA65E2" w:rsidRDefault="00B75FEE" w:rsidP="001A1258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4.4.1</w:t>
            </w:r>
          </w:p>
        </w:tc>
        <w:tc>
          <w:tcPr>
            <w:tcW w:w="3827" w:type="dxa"/>
          </w:tcPr>
          <w:p w:rsidR="001A1258" w:rsidRDefault="001A1258" w:rsidP="003461B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3" w:name="_Toc479773015"/>
            <w:r w:rsidRPr="000746D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Monitorovanie počas realizácie projektov</w:t>
            </w:r>
            <w:bookmarkEnd w:id="3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zosúladenie procesu predloženia MS na RO OP TP s platnou verziou IMP – predloženie tlačenej verzie MS do 5 dní od zaslania prostredníctvom ITMS2014+</w:t>
            </w:r>
          </w:p>
        </w:tc>
        <w:tc>
          <w:tcPr>
            <w:tcW w:w="3118" w:type="dxa"/>
          </w:tcPr>
          <w:p w:rsidR="001A1258" w:rsidRDefault="001A1258" w:rsidP="00AB086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zosúladenie s platnou verziou IMP</w:t>
            </w:r>
          </w:p>
        </w:tc>
        <w:tc>
          <w:tcPr>
            <w:tcW w:w="1985" w:type="dxa"/>
          </w:tcPr>
          <w:p w:rsidR="001A1258" w:rsidRPr="001A1258" w:rsidRDefault="001A1258" w:rsidP="001A1258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Pr="00A26C1E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4.4.2</w:t>
            </w:r>
          </w:p>
        </w:tc>
        <w:tc>
          <w:tcPr>
            <w:tcW w:w="3827" w:type="dxa"/>
          </w:tcPr>
          <w:p w:rsidR="001A1258" w:rsidRDefault="001A1258" w:rsidP="00BE35B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0746D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Monitorovanie pri ukončení realizácie projektov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zosúladenie procesu predloženia MS na RO OP TP s platnou verziou IMP – predloženie tlačenej verzie MS do 5 dní od zaslania prostredníctvom ITMS2014+</w:t>
            </w:r>
          </w:p>
        </w:tc>
        <w:tc>
          <w:tcPr>
            <w:tcW w:w="3118" w:type="dxa"/>
          </w:tcPr>
          <w:p w:rsidR="001A1258" w:rsidRDefault="001A1258" w:rsidP="00E17D5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zosúladenie s platnou verziou IMP</w:t>
            </w:r>
          </w:p>
        </w:tc>
        <w:tc>
          <w:tcPr>
            <w:tcW w:w="1985" w:type="dxa"/>
          </w:tcPr>
          <w:p w:rsidR="001A1258" w:rsidRPr="001A1258" w:rsidRDefault="001A1258" w:rsidP="001A1258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4.6.2</w:t>
            </w:r>
          </w:p>
        </w:tc>
        <w:tc>
          <w:tcPr>
            <w:tcW w:w="3827" w:type="dxa"/>
          </w:tcPr>
          <w:p w:rsidR="001A1258" w:rsidRDefault="001A1258" w:rsidP="000746D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0746D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Finančná kontrola na mieste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zosúladenie p</w:t>
            </w:r>
            <w:r w:rsidRPr="000746D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ovinnost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í</w:t>
            </w:r>
            <w:r w:rsidRPr="000746D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Prijímateľa pri výkone finančnej kontroly na mieste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so zákonom o finančnej kontrole</w:t>
            </w:r>
          </w:p>
        </w:tc>
        <w:tc>
          <w:tcPr>
            <w:tcW w:w="3118" w:type="dxa"/>
          </w:tcPr>
          <w:p w:rsidR="001A1258" w:rsidRPr="00F47E55" w:rsidRDefault="001A1258" w:rsidP="000746D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zákona o finančnej kontrole</w:t>
            </w:r>
          </w:p>
        </w:tc>
        <w:tc>
          <w:tcPr>
            <w:tcW w:w="1985" w:type="dxa"/>
          </w:tcPr>
          <w:p w:rsidR="001A1258" w:rsidRPr="001A1258" w:rsidRDefault="001A1258" w:rsidP="001A1258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7.</w:t>
            </w:r>
          </w:p>
        </w:tc>
        <w:tc>
          <w:tcPr>
            <w:tcW w:w="3827" w:type="dxa"/>
          </w:tcPr>
          <w:p w:rsidR="001A1258" w:rsidRDefault="001A1258" w:rsidP="00ED0EA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Uchovávanie dokumentácie – zmena obdobia na udržanie webového sídla prijímateľa po dobu realizácie projektu z dôvodu neuplatňovania udržateľnosti pri projektoch TP</w:t>
            </w:r>
          </w:p>
        </w:tc>
        <w:tc>
          <w:tcPr>
            <w:tcW w:w="3118" w:type="dxa"/>
          </w:tcPr>
          <w:p w:rsidR="001A1258" w:rsidRPr="008F3E02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1A1258" w:rsidRPr="001A1258" w:rsidRDefault="001A1258" w:rsidP="009A6897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861878" w:rsidRPr="003142FD" w:rsidTr="00302815">
        <w:trPr>
          <w:trHeight w:val="428"/>
        </w:trPr>
        <w:tc>
          <w:tcPr>
            <w:tcW w:w="1277" w:type="dxa"/>
          </w:tcPr>
          <w:p w:rsidR="00861878" w:rsidRDefault="0086187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č.4</w:t>
            </w:r>
          </w:p>
        </w:tc>
        <w:tc>
          <w:tcPr>
            <w:tcW w:w="3827" w:type="dxa"/>
          </w:tcPr>
          <w:p w:rsidR="00861878" w:rsidRDefault="00861878" w:rsidP="00C231B4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676C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Sumarizačný hárok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personálne výdavky –</w:t>
            </w:r>
            <w:r w:rsidR="00C231B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stĺpca pre </w:t>
            </w:r>
            <w:r w:rsidRPr="0086187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celkov</w:t>
            </w:r>
            <w:r w:rsidR="0038772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</w:t>
            </w:r>
            <w:r w:rsidRPr="0086187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sum</w:t>
            </w:r>
            <w:r w:rsidR="0038772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</w:t>
            </w:r>
            <w:r w:rsidRPr="0086187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nárokovaných výdavkov</w:t>
            </w:r>
            <w:r w:rsidR="00C231B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(zmena vzorca a názvu stĺpca)</w:t>
            </w:r>
          </w:p>
        </w:tc>
        <w:tc>
          <w:tcPr>
            <w:tcW w:w="3118" w:type="dxa"/>
          </w:tcPr>
          <w:p w:rsidR="00861878" w:rsidRDefault="0086187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861878" w:rsidRPr="00FA65E2" w:rsidRDefault="00861878" w:rsidP="009A6897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9A689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Príloha č. 5</w:t>
            </w:r>
          </w:p>
        </w:tc>
        <w:tc>
          <w:tcPr>
            <w:tcW w:w="3827" w:type="dxa"/>
          </w:tcPr>
          <w:p w:rsidR="001A1258" w:rsidRDefault="001A1258" w:rsidP="009A689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676C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Sumarizačný hárok – cestovné výdavky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-aktualizácia prílohy</w:t>
            </w:r>
          </w:p>
        </w:tc>
        <w:tc>
          <w:tcPr>
            <w:tcW w:w="3118" w:type="dxa"/>
          </w:tcPr>
          <w:p w:rsidR="001A1258" w:rsidRDefault="001A1258" w:rsidP="009A689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1A1258" w:rsidRPr="001A1258" w:rsidRDefault="001A1258" w:rsidP="009A6897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č.6</w:t>
            </w:r>
          </w:p>
        </w:tc>
        <w:tc>
          <w:tcPr>
            <w:tcW w:w="3827" w:type="dxa"/>
          </w:tcPr>
          <w:p w:rsidR="001A1258" w:rsidRDefault="001A1258" w:rsidP="006838DD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6838D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Doplňujúce monitorovacie údaje k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proofErr w:type="spellStart"/>
            <w:r w:rsidRPr="006838D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 aktualizácia a rozdelenie na dve časti a) a b) z dôvodu doplnenia popisu k vypĺňaniu vzoru d</w:t>
            </w:r>
            <w:r w:rsidRPr="006838D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oplňujúc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ich</w:t>
            </w:r>
            <w:r w:rsidRPr="006838D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monitorovac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ích</w:t>
            </w:r>
            <w:r w:rsidRPr="006838D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údaj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ov</w:t>
            </w:r>
            <w:r w:rsidRPr="006838D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k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proofErr w:type="spellStart"/>
            <w:r w:rsidRPr="006838D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  <w:tc>
          <w:tcPr>
            <w:tcW w:w="3118" w:type="dxa"/>
          </w:tcPr>
          <w:p w:rsidR="001A1258" w:rsidRDefault="0074764B" w:rsidP="006838DD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 w:rsidR="001A12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zmysle verzie č. 3 Vzoru CKO č. 26</w:t>
            </w:r>
          </w:p>
        </w:tc>
        <w:tc>
          <w:tcPr>
            <w:tcW w:w="1985" w:type="dxa"/>
          </w:tcPr>
          <w:p w:rsidR="001A1258" w:rsidRPr="001A1258" w:rsidRDefault="001A1258" w:rsidP="009A6897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č.7</w:t>
            </w:r>
          </w:p>
        </w:tc>
        <w:tc>
          <w:tcPr>
            <w:tcW w:w="3827" w:type="dxa"/>
          </w:tcPr>
          <w:p w:rsidR="001A1258" w:rsidRDefault="001A1258" w:rsidP="00B75FEE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Monitorovacia správa – aktualizácia a rozdelenie na dve časti a) a b) z dôvodu doplnenia popisu k vypĺňaniu vzoru MS</w:t>
            </w:r>
          </w:p>
        </w:tc>
        <w:tc>
          <w:tcPr>
            <w:tcW w:w="3118" w:type="dxa"/>
          </w:tcPr>
          <w:p w:rsidR="001A1258" w:rsidRDefault="0074764B" w:rsidP="00276E69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 w:rsidR="001A12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zmysle verzie č. 3 Vzoru CKO č. 25</w:t>
            </w:r>
          </w:p>
        </w:tc>
        <w:tc>
          <w:tcPr>
            <w:tcW w:w="1985" w:type="dxa"/>
          </w:tcPr>
          <w:p w:rsidR="001A1258" w:rsidRPr="001A1258" w:rsidRDefault="001A1258" w:rsidP="009A6897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  <w:tr w:rsidR="001A1258" w:rsidRPr="003142FD" w:rsidTr="00302815">
        <w:trPr>
          <w:trHeight w:val="428"/>
        </w:trPr>
        <w:tc>
          <w:tcPr>
            <w:tcW w:w="1277" w:type="dxa"/>
          </w:tcPr>
          <w:p w:rsidR="001A1258" w:rsidRDefault="001A1258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8</w:t>
            </w:r>
          </w:p>
        </w:tc>
        <w:tc>
          <w:tcPr>
            <w:tcW w:w="3827" w:type="dxa"/>
          </w:tcPr>
          <w:p w:rsidR="001A1258" w:rsidRPr="00B712EA" w:rsidRDefault="001A1258" w:rsidP="00276E69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Mimoriadna monitorovacia správa – aktualizácia </w:t>
            </w:r>
          </w:p>
        </w:tc>
        <w:tc>
          <w:tcPr>
            <w:tcW w:w="3118" w:type="dxa"/>
          </w:tcPr>
          <w:p w:rsidR="001A1258" w:rsidRDefault="0074764B" w:rsidP="00276E69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 w:rsidR="001A125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zmysle verzie č. 2 Vzoru CKO č. 31</w:t>
            </w:r>
          </w:p>
        </w:tc>
        <w:tc>
          <w:tcPr>
            <w:tcW w:w="1985" w:type="dxa"/>
          </w:tcPr>
          <w:p w:rsidR="001A1258" w:rsidRPr="001A1258" w:rsidRDefault="001A1258" w:rsidP="009A6897">
            <w:pPr>
              <w:spacing w:before="12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A65E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19.2.2018</w:t>
            </w: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106728">
        <w:rPr>
          <w:rFonts w:asciiTheme="minorHAnsi" w:hAnsiTheme="minorHAnsi" w:cstheme="minorHAnsi"/>
          <w:bCs/>
          <w:smallCaps/>
          <w:spacing w:val="60"/>
        </w:rPr>
        <w:t>Prijímateľa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106728">
        <w:rPr>
          <w:rFonts w:asciiTheme="minorHAnsi" w:hAnsiTheme="minorHAnsi" w:cstheme="minorHAnsi"/>
          <w:caps w:val="0"/>
          <w:szCs w:val="28"/>
        </w:rPr>
        <w:t>prijímateľa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A34C33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verzia 2.0 </w:t>
            </w:r>
            <w:r w:rsidR="00B458B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zákon 357/2015 o finančnej kontrole a audite</w:t>
            </w:r>
          </w:p>
        </w:tc>
        <w:tc>
          <w:tcPr>
            <w:tcW w:w="1795" w:type="dxa"/>
          </w:tcPr>
          <w:p w:rsidR="0046600A" w:rsidRPr="00AD2DF3" w:rsidRDefault="00C73039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985E03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1.</w:t>
            </w:r>
            <w:r w:rsidR="00106728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55242B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Systému finančného riadenia 1.2, SR EŠIF, verzia 3.0, zákona 357/2015 o finančnej kontrole a audite</w:t>
            </w:r>
          </w:p>
        </w:tc>
        <w:tc>
          <w:tcPr>
            <w:tcW w:w="1795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23.3.2016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675052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4017" w:type="dxa"/>
          </w:tcPr>
          <w:p w:rsidR="0046600A" w:rsidRPr="0046600A" w:rsidRDefault="00675052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SR EŠIF, verzia 4.0</w:t>
            </w:r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zákon č. 343/2015 </w:t>
            </w:r>
            <w:proofErr w:type="spellStart"/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Z.z</w:t>
            </w:r>
            <w:proofErr w:type="spellEnd"/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 o</w:t>
            </w:r>
            <w:r w:rsidR="008D7D9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</w:t>
            </w:r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VO</w:t>
            </w:r>
            <w:r w:rsidR="008D7D9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potreby RO OP TP</w:t>
            </w:r>
          </w:p>
        </w:tc>
        <w:tc>
          <w:tcPr>
            <w:tcW w:w="1795" w:type="dxa"/>
          </w:tcPr>
          <w:p w:rsidR="0046600A" w:rsidRPr="0046600A" w:rsidRDefault="00675052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8D7D9F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FD4D0B" w:rsidP="00113E4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46600A" w:rsidRPr="0046600A" w:rsidRDefault="00FD4D0B" w:rsidP="00FD4D0B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 a zosúladenia s ďalšou riadiacou dokumentáciou</w:t>
            </w:r>
          </w:p>
        </w:tc>
        <w:tc>
          <w:tcPr>
            <w:tcW w:w="1795" w:type="dxa"/>
          </w:tcPr>
          <w:p w:rsidR="0046600A" w:rsidRPr="0046600A" w:rsidRDefault="00FD4D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46600A" w:rsidRPr="0046600A" w:rsidRDefault="00FD4D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113E4F" w:rsidP="00113E4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4017" w:type="dxa"/>
          </w:tcPr>
          <w:p w:rsidR="0046600A" w:rsidRPr="0046600A" w:rsidRDefault="00113E4F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 a zosúladenia s ďalšou riadiacou dokumentáciou</w:t>
            </w:r>
          </w:p>
        </w:tc>
        <w:tc>
          <w:tcPr>
            <w:tcW w:w="1795" w:type="dxa"/>
          </w:tcPr>
          <w:p w:rsidR="0046600A" w:rsidRPr="0046600A" w:rsidRDefault="00113E4F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6.0</w:t>
            </w:r>
          </w:p>
        </w:tc>
        <w:tc>
          <w:tcPr>
            <w:tcW w:w="1749" w:type="dxa"/>
          </w:tcPr>
          <w:p w:rsidR="0046600A" w:rsidRPr="0046600A" w:rsidRDefault="00113E4F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28.6.2017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10625B" w:rsidP="0010625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</w:p>
        </w:tc>
        <w:tc>
          <w:tcPr>
            <w:tcW w:w="4017" w:type="dxa"/>
          </w:tcPr>
          <w:p w:rsidR="0046600A" w:rsidRPr="0046600A" w:rsidRDefault="0010625B" w:rsidP="0010625B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TP, certifikačných overovaní a auditov</w:t>
            </w:r>
          </w:p>
        </w:tc>
        <w:tc>
          <w:tcPr>
            <w:tcW w:w="1795" w:type="dxa"/>
          </w:tcPr>
          <w:p w:rsidR="0046600A" w:rsidRPr="0046600A" w:rsidRDefault="0010625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7.0</w:t>
            </w:r>
          </w:p>
        </w:tc>
        <w:tc>
          <w:tcPr>
            <w:tcW w:w="1749" w:type="dxa"/>
          </w:tcPr>
          <w:p w:rsidR="0046600A" w:rsidRPr="0046600A" w:rsidRDefault="0010625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9A5AE8" w:rsidP="009A5AE8">
            <w:pPr>
              <w:spacing w:before="60" w:after="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</w:t>
            </w:r>
          </w:p>
        </w:tc>
        <w:tc>
          <w:tcPr>
            <w:tcW w:w="4017" w:type="dxa"/>
          </w:tcPr>
          <w:p w:rsidR="0046600A" w:rsidRPr="0046600A" w:rsidRDefault="009A5AE8" w:rsidP="000E63C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TP, </w:t>
            </w:r>
            <w:r w:rsidR="000E63C5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aktualizácie vzorov CKO</w:t>
            </w:r>
          </w:p>
        </w:tc>
        <w:tc>
          <w:tcPr>
            <w:tcW w:w="1795" w:type="dxa"/>
          </w:tcPr>
          <w:p w:rsidR="0046600A" w:rsidRPr="0046600A" w:rsidRDefault="009A5AE8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8.0</w:t>
            </w:r>
          </w:p>
        </w:tc>
        <w:tc>
          <w:tcPr>
            <w:tcW w:w="1749" w:type="dxa"/>
          </w:tcPr>
          <w:p w:rsidR="0046600A" w:rsidRPr="0046600A" w:rsidRDefault="000E63C5" w:rsidP="000E63C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19</w:t>
            </w:r>
            <w:r w:rsidR="00D13F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  <w:r w:rsidR="00D13F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.201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8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E2D3C"/>
    <w:multiLevelType w:val="multilevel"/>
    <w:tmpl w:val="3BF8FE3E"/>
    <w:lvl w:ilvl="0">
      <w:start w:val="4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746DB"/>
    <w:rsid w:val="0008432B"/>
    <w:rsid w:val="0008663A"/>
    <w:rsid w:val="00090F31"/>
    <w:rsid w:val="000A0A53"/>
    <w:rsid w:val="000D1598"/>
    <w:rsid w:val="000E63C5"/>
    <w:rsid w:val="000F323E"/>
    <w:rsid w:val="000F59FD"/>
    <w:rsid w:val="0010143D"/>
    <w:rsid w:val="0010400C"/>
    <w:rsid w:val="0010625B"/>
    <w:rsid w:val="00106728"/>
    <w:rsid w:val="00110071"/>
    <w:rsid w:val="00113E4F"/>
    <w:rsid w:val="00115D44"/>
    <w:rsid w:val="001165C8"/>
    <w:rsid w:val="00144AC3"/>
    <w:rsid w:val="001A1258"/>
    <w:rsid w:val="001A1B0B"/>
    <w:rsid w:val="001A5DDC"/>
    <w:rsid w:val="001D1EA4"/>
    <w:rsid w:val="00257651"/>
    <w:rsid w:val="00260200"/>
    <w:rsid w:val="00276E69"/>
    <w:rsid w:val="00280D68"/>
    <w:rsid w:val="002858B0"/>
    <w:rsid w:val="00293E53"/>
    <w:rsid w:val="002D3AC5"/>
    <w:rsid w:val="002D7D36"/>
    <w:rsid w:val="002E5F16"/>
    <w:rsid w:val="002F7787"/>
    <w:rsid w:val="00302815"/>
    <w:rsid w:val="003142FD"/>
    <w:rsid w:val="003461B4"/>
    <w:rsid w:val="00363467"/>
    <w:rsid w:val="00370C7D"/>
    <w:rsid w:val="00387729"/>
    <w:rsid w:val="003A525C"/>
    <w:rsid w:val="003A71C0"/>
    <w:rsid w:val="003E36B8"/>
    <w:rsid w:val="00453E08"/>
    <w:rsid w:val="0046600A"/>
    <w:rsid w:val="00473806"/>
    <w:rsid w:val="004A0782"/>
    <w:rsid w:val="00504031"/>
    <w:rsid w:val="00535A7F"/>
    <w:rsid w:val="00544549"/>
    <w:rsid w:val="005518C6"/>
    <w:rsid w:val="0055242B"/>
    <w:rsid w:val="00567093"/>
    <w:rsid w:val="005762AD"/>
    <w:rsid w:val="00583786"/>
    <w:rsid w:val="005928C2"/>
    <w:rsid w:val="005948F0"/>
    <w:rsid w:val="005952BA"/>
    <w:rsid w:val="005B61DE"/>
    <w:rsid w:val="005C1EE0"/>
    <w:rsid w:val="005F168F"/>
    <w:rsid w:val="0060536D"/>
    <w:rsid w:val="00644F39"/>
    <w:rsid w:val="00653F42"/>
    <w:rsid w:val="00675052"/>
    <w:rsid w:val="00676C5C"/>
    <w:rsid w:val="006838DD"/>
    <w:rsid w:val="006C77EC"/>
    <w:rsid w:val="006D4B09"/>
    <w:rsid w:val="006E365B"/>
    <w:rsid w:val="006F58C1"/>
    <w:rsid w:val="007305ED"/>
    <w:rsid w:val="00745A03"/>
    <w:rsid w:val="0074764B"/>
    <w:rsid w:val="00793528"/>
    <w:rsid w:val="007B41FB"/>
    <w:rsid w:val="007B6AEE"/>
    <w:rsid w:val="007D55CA"/>
    <w:rsid w:val="007E0CFF"/>
    <w:rsid w:val="007E5771"/>
    <w:rsid w:val="00804546"/>
    <w:rsid w:val="0080597B"/>
    <w:rsid w:val="00814873"/>
    <w:rsid w:val="00853D65"/>
    <w:rsid w:val="008546C7"/>
    <w:rsid w:val="00855E9C"/>
    <w:rsid w:val="008611F4"/>
    <w:rsid w:val="00861878"/>
    <w:rsid w:val="00863B8C"/>
    <w:rsid w:val="008678C3"/>
    <w:rsid w:val="00880FE1"/>
    <w:rsid w:val="00881698"/>
    <w:rsid w:val="008C79B1"/>
    <w:rsid w:val="008D1ADF"/>
    <w:rsid w:val="008D6D77"/>
    <w:rsid w:val="008D7D9F"/>
    <w:rsid w:val="008F03E8"/>
    <w:rsid w:val="008F3E02"/>
    <w:rsid w:val="0091737C"/>
    <w:rsid w:val="00965F7D"/>
    <w:rsid w:val="00971C30"/>
    <w:rsid w:val="00985E03"/>
    <w:rsid w:val="00995718"/>
    <w:rsid w:val="009A5AE8"/>
    <w:rsid w:val="00A025CE"/>
    <w:rsid w:val="00A0644C"/>
    <w:rsid w:val="00A13169"/>
    <w:rsid w:val="00A1798B"/>
    <w:rsid w:val="00A25174"/>
    <w:rsid w:val="00A26C1E"/>
    <w:rsid w:val="00A34C33"/>
    <w:rsid w:val="00A50206"/>
    <w:rsid w:val="00A62B11"/>
    <w:rsid w:val="00A63F90"/>
    <w:rsid w:val="00AA541C"/>
    <w:rsid w:val="00AA6568"/>
    <w:rsid w:val="00AB0864"/>
    <w:rsid w:val="00AD2DF3"/>
    <w:rsid w:val="00AE02A8"/>
    <w:rsid w:val="00AE0727"/>
    <w:rsid w:val="00B043A4"/>
    <w:rsid w:val="00B333D4"/>
    <w:rsid w:val="00B368F6"/>
    <w:rsid w:val="00B458B9"/>
    <w:rsid w:val="00B70C83"/>
    <w:rsid w:val="00B712EA"/>
    <w:rsid w:val="00B75FEE"/>
    <w:rsid w:val="00B91AE6"/>
    <w:rsid w:val="00BB4806"/>
    <w:rsid w:val="00BE1CE1"/>
    <w:rsid w:val="00BE35BB"/>
    <w:rsid w:val="00BF4F67"/>
    <w:rsid w:val="00C02A0E"/>
    <w:rsid w:val="00C231B4"/>
    <w:rsid w:val="00C33676"/>
    <w:rsid w:val="00C4095B"/>
    <w:rsid w:val="00C50F15"/>
    <w:rsid w:val="00C532D6"/>
    <w:rsid w:val="00C73039"/>
    <w:rsid w:val="00C8423C"/>
    <w:rsid w:val="00CA4AE2"/>
    <w:rsid w:val="00CB5F2B"/>
    <w:rsid w:val="00CC5FB8"/>
    <w:rsid w:val="00CC6277"/>
    <w:rsid w:val="00D1322D"/>
    <w:rsid w:val="00D13F0B"/>
    <w:rsid w:val="00D40973"/>
    <w:rsid w:val="00D41D17"/>
    <w:rsid w:val="00D44FEC"/>
    <w:rsid w:val="00D65252"/>
    <w:rsid w:val="00DA5DA8"/>
    <w:rsid w:val="00DB2750"/>
    <w:rsid w:val="00DB5B80"/>
    <w:rsid w:val="00DD0D35"/>
    <w:rsid w:val="00DD4D78"/>
    <w:rsid w:val="00DE248D"/>
    <w:rsid w:val="00E17D51"/>
    <w:rsid w:val="00E30087"/>
    <w:rsid w:val="00E53C8E"/>
    <w:rsid w:val="00E60E65"/>
    <w:rsid w:val="00E6618A"/>
    <w:rsid w:val="00E746F5"/>
    <w:rsid w:val="00EA30E5"/>
    <w:rsid w:val="00EC452C"/>
    <w:rsid w:val="00ED0EA1"/>
    <w:rsid w:val="00F07022"/>
    <w:rsid w:val="00F47E55"/>
    <w:rsid w:val="00F54DCA"/>
    <w:rsid w:val="00FA1B36"/>
    <w:rsid w:val="00FD4D0B"/>
    <w:rsid w:val="00FE250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qFormat/>
    <w:rsid w:val="00DD4D78"/>
    <w:pPr>
      <w:keepLines w:val="0"/>
      <w:spacing w:before="240" w:after="60"/>
      <w:jc w:val="both"/>
      <w:outlineLvl w:val="1"/>
    </w:pPr>
    <w:rPr>
      <w:rFonts w:ascii="Cambria" w:eastAsia="Calibri" w:hAnsi="Cambria"/>
      <w:i/>
      <w:caps w:val="0"/>
      <w:szCs w:val="20"/>
      <w:lang w:val="x-none" w:eastAsia="cs-CZ"/>
    </w:rPr>
  </w:style>
  <w:style w:type="paragraph" w:styleId="Nadpis3">
    <w:name w:val="heading 3"/>
    <w:basedOn w:val="Normlny"/>
    <w:next w:val="Normlny"/>
    <w:link w:val="Nadpis3Char"/>
    <w:qFormat/>
    <w:rsid w:val="00DD4D78"/>
    <w:pPr>
      <w:keepLines w:val="0"/>
      <w:spacing w:before="240" w:after="60"/>
      <w:jc w:val="both"/>
      <w:outlineLvl w:val="2"/>
    </w:pPr>
    <w:rPr>
      <w:rFonts w:ascii="Cambria" w:eastAsia="Calibri" w:hAnsi="Cambria"/>
      <w:caps w:val="0"/>
      <w:sz w:val="26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2Char">
    <w:name w:val="Nadpis 2 Char"/>
    <w:basedOn w:val="Predvolenpsmoodseku"/>
    <w:link w:val="Nadpis2"/>
    <w:rsid w:val="00DD4D78"/>
    <w:rPr>
      <w:rFonts w:ascii="Cambria" w:eastAsia="Calibri" w:hAnsi="Cambria" w:cs="Times New Roman"/>
      <w:b/>
      <w:i/>
      <w:sz w:val="28"/>
      <w:szCs w:val="20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DD4D78"/>
    <w:rPr>
      <w:rFonts w:ascii="Cambria" w:eastAsia="Calibri" w:hAnsi="Cambria" w:cs="Times New Roman"/>
      <w:b/>
      <w:sz w:val="26"/>
      <w:szCs w:val="20"/>
      <w:lang w:val="x-none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qFormat/>
    <w:rsid w:val="00DD4D78"/>
    <w:pPr>
      <w:keepLines w:val="0"/>
      <w:spacing w:before="240" w:after="60"/>
      <w:jc w:val="both"/>
      <w:outlineLvl w:val="1"/>
    </w:pPr>
    <w:rPr>
      <w:rFonts w:ascii="Cambria" w:eastAsia="Calibri" w:hAnsi="Cambria"/>
      <w:i/>
      <w:caps w:val="0"/>
      <w:szCs w:val="20"/>
      <w:lang w:val="x-none" w:eastAsia="cs-CZ"/>
    </w:rPr>
  </w:style>
  <w:style w:type="paragraph" w:styleId="Nadpis3">
    <w:name w:val="heading 3"/>
    <w:basedOn w:val="Normlny"/>
    <w:next w:val="Normlny"/>
    <w:link w:val="Nadpis3Char"/>
    <w:qFormat/>
    <w:rsid w:val="00DD4D78"/>
    <w:pPr>
      <w:keepLines w:val="0"/>
      <w:spacing w:before="240" w:after="60"/>
      <w:jc w:val="both"/>
      <w:outlineLvl w:val="2"/>
    </w:pPr>
    <w:rPr>
      <w:rFonts w:ascii="Cambria" w:eastAsia="Calibri" w:hAnsi="Cambria"/>
      <w:caps w:val="0"/>
      <w:sz w:val="26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2Char">
    <w:name w:val="Nadpis 2 Char"/>
    <w:basedOn w:val="Predvolenpsmoodseku"/>
    <w:link w:val="Nadpis2"/>
    <w:rsid w:val="00DD4D78"/>
    <w:rPr>
      <w:rFonts w:ascii="Cambria" w:eastAsia="Calibri" w:hAnsi="Cambria" w:cs="Times New Roman"/>
      <w:b/>
      <w:i/>
      <w:sz w:val="28"/>
      <w:szCs w:val="20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DD4D78"/>
    <w:rPr>
      <w:rFonts w:ascii="Cambria" w:eastAsia="Calibri" w:hAnsi="Cambria" w:cs="Times New Roman"/>
      <w:b/>
      <w:sz w:val="26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2018-02-14T09:39:00Z</dcterms:modified>
</cp:coreProperties>
</file>