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Menej rozvinuté </w:t>
            </w:r>
            <w:r w:rsidR="00861995" w:rsidRPr="00AD41AC">
              <w:rPr>
                <w:color w:val="000000"/>
                <w:sz w:val="18"/>
                <w:szCs w:val="18"/>
              </w:rPr>
              <w:lastRenderedPageBreak/>
              <w:t>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 w:rsidP="00B13C30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Výber z číselníka Území </w:t>
            </w:r>
            <w:r w:rsidRPr="00B13C30">
              <w:rPr>
                <w:b/>
                <w:i/>
                <w:sz w:val="18"/>
                <w:szCs w:val="18"/>
              </w:rPr>
              <w:t>(</w:t>
            </w:r>
            <w:r w:rsidR="00B13C30" w:rsidRPr="00B13C30">
              <w:rPr>
                <w:b/>
                <w:i/>
                <w:sz w:val="18"/>
                <w:szCs w:val="18"/>
              </w:rPr>
              <w:t>Žiadateľ v</w:t>
            </w:r>
            <w:r w:rsidR="00B13C30" w:rsidRPr="00B13C30">
              <w:rPr>
                <w:rFonts w:cstheme="minorHAnsi"/>
                <w:b/>
                <w:i/>
                <w:sz w:val="18"/>
                <w:szCs w:val="18"/>
              </w:rPr>
              <w:t>yberie všetky samosprávne kraje</w:t>
            </w:r>
            <w:r w:rsidR="00512B13" w:rsidRPr="00B13C30">
              <w:rPr>
                <w:b/>
                <w:i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vyberie žiadateľ:  </w:t>
            </w:r>
            <w:r w:rsidR="00406B2E" w:rsidRPr="00B13C30">
              <w:rPr>
                <w:b/>
                <w:i/>
                <w:sz w:val="18"/>
                <w:szCs w:val="18"/>
              </w:rPr>
              <w:t>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B13C30">
              <w:rPr>
                <w:sz w:val="18"/>
                <w:szCs w:val="18"/>
              </w:rPr>
              <w:t xml:space="preserve">. </w:t>
            </w:r>
            <w:r w:rsidR="00B13C30" w:rsidRPr="00B13C30">
              <w:rPr>
                <w:rFonts w:cstheme="minorHAnsi"/>
                <w:b/>
                <w:i/>
                <w:sz w:val="18"/>
                <w:szCs w:val="18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B13C30" w:rsidRDefault="00B13C30" w:rsidP="003E0CBA">
            <w:pPr>
              <w:rPr>
                <w:b/>
                <w:i/>
                <w:sz w:val="20"/>
                <w:szCs w:val="20"/>
              </w:rPr>
            </w:pPr>
            <w:r w:rsidRPr="00B13C30">
              <w:rPr>
                <w:rFonts w:cstheme="minorHAnsi"/>
                <w:b/>
                <w:i/>
                <w:sz w:val="18"/>
                <w:szCs w:val="18"/>
              </w:rPr>
              <w:t>Žiadateľ nevypĺňa.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 xml:space="preserve">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</w:t>
            </w:r>
            <w:r w:rsidRPr="00B13C30">
              <w:rPr>
                <w:b/>
                <w:sz w:val="18"/>
                <w:szCs w:val="18"/>
              </w:rPr>
              <w:t xml:space="preserve"> </w:t>
            </w:r>
            <w:r w:rsidR="00B13C30" w:rsidRPr="00B13C30">
              <w:rPr>
                <w:rFonts w:cstheme="minorHAnsi"/>
                <w:b/>
                <w:i/>
                <w:sz w:val="18"/>
                <w:szCs w:val="18"/>
              </w:rPr>
              <w:t>Žiadateľ si v rámci  OP TP v projekte neuplatňuje podporné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B13C30" w:rsidRDefault="00B13C30">
            <w:pPr>
              <w:tabs>
                <w:tab w:val="left" w:pos="1245"/>
              </w:tabs>
              <w:rPr>
                <w:b/>
                <w:i/>
                <w:sz w:val="18"/>
                <w:szCs w:val="18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B13C30" w:rsidRDefault="00B13C30">
            <w:pPr>
              <w:rPr>
                <w:b/>
                <w:i/>
                <w:sz w:val="20"/>
                <w:szCs w:val="20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B13C30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B13C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B13C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="00B13C30" w:rsidRPr="00B13C30">
              <w:rPr>
                <w:rFonts w:cstheme="minorHAnsi"/>
                <w:b/>
                <w:i/>
                <w:sz w:val="18"/>
                <w:szCs w:val="18"/>
              </w:rPr>
              <w:t>Žiadateľ si v rámci  OP TP v projekte neuplatňuje podporné aktivity.</w:t>
            </w:r>
          </w:p>
        </w:tc>
      </w:tr>
      <w:tr w:rsidR="00B13C30" w:rsidRPr="0075785C" w:rsidTr="00AD41AC">
        <w:tc>
          <w:tcPr>
            <w:tcW w:w="704" w:type="dxa"/>
          </w:tcPr>
          <w:p w:rsidR="00B13C30" w:rsidRPr="0075785C" w:rsidRDefault="00B13C30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B13C30" w:rsidRPr="003230AE" w:rsidRDefault="00B13C3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B13C30" w:rsidRPr="00B13C30" w:rsidRDefault="00B13C30" w:rsidP="00B13C30">
            <w:pPr>
              <w:tabs>
                <w:tab w:val="left" w:pos="1245"/>
              </w:tabs>
              <w:rPr>
                <w:b/>
                <w:i/>
                <w:sz w:val="18"/>
                <w:szCs w:val="18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B13C30" w:rsidRPr="0075785C" w:rsidTr="00AD41AC">
        <w:tc>
          <w:tcPr>
            <w:tcW w:w="704" w:type="dxa"/>
          </w:tcPr>
          <w:p w:rsidR="00B13C30" w:rsidRPr="0075785C" w:rsidRDefault="00B13C30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B13C30" w:rsidRPr="003230AE" w:rsidRDefault="00B13C3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B13C30" w:rsidRPr="00B13C30" w:rsidRDefault="00B13C30" w:rsidP="00B13C30">
            <w:pPr>
              <w:rPr>
                <w:b/>
                <w:i/>
                <w:sz w:val="20"/>
                <w:szCs w:val="20"/>
              </w:rPr>
            </w:pPr>
            <w:r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>Žiadateľ nevypĺňa. V rámci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 xml:space="preserve">, Súčet za typ aktivity, potom </w:t>
            </w:r>
            <w:r w:rsidR="00047466" w:rsidRPr="00E47F5C">
              <w:rPr>
                <w:sz w:val="18"/>
                <w:szCs w:val="18"/>
              </w:rPr>
              <w:lastRenderedPageBreak/>
              <w:t>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</w:t>
            </w:r>
            <w:r w:rsidRPr="00E47F5C">
              <w:rPr>
                <w:sz w:val="18"/>
                <w:szCs w:val="18"/>
              </w:rPr>
              <w:lastRenderedPageBreak/>
              <w:t>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</w:t>
            </w:r>
            <w:proofErr w:type="spellStart"/>
            <w:r w:rsidR="00F633E5" w:rsidRPr="00F633E5">
              <w:rPr>
                <w:sz w:val="18"/>
                <w:szCs w:val="18"/>
              </w:rPr>
              <w:t>ŽoNFP</w:t>
            </w:r>
            <w:proofErr w:type="spellEnd"/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="00AB551E" w:rsidRPr="00AB551E">
              <w:rPr>
                <w:sz w:val="18"/>
                <w:szCs w:val="18"/>
              </w:rPr>
              <w:t>de</w:t>
            </w:r>
            <w:proofErr w:type="spellEnd"/>
            <w:r w:rsidR="00AB551E" w:rsidRPr="00AB551E">
              <w:rPr>
                <w:sz w:val="18"/>
                <w:szCs w:val="18"/>
              </w:rPr>
              <w:t xml:space="preserve">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</w:t>
            </w:r>
            <w:r w:rsidRPr="003E40E3">
              <w:rPr>
                <w:sz w:val="18"/>
                <w:szCs w:val="18"/>
              </w:rPr>
              <w:lastRenderedPageBreak/>
              <w:t>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 xml:space="preserve">, ktorý/é bol/i na úrovni výzvy označený/é zo strany RO </w:t>
            </w:r>
            <w:r w:rsidRPr="00B13C30">
              <w:rPr>
                <w:b/>
                <w:sz w:val="18"/>
                <w:szCs w:val="18"/>
              </w:rPr>
              <w:t>príznakom</w:t>
            </w:r>
            <w:r w:rsidRPr="003007BA">
              <w:rPr>
                <w:sz w:val="18"/>
                <w:szCs w:val="18"/>
              </w:rPr>
              <w:t xml:space="preserve">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  <w:bookmarkStart w:id="0" w:name="_GoBack"/>
            <w:bookmarkEnd w:id="0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30" w:rsidRDefault="00B13C30" w:rsidP="006B0271">
      <w:pPr>
        <w:spacing w:after="0" w:line="240" w:lineRule="auto"/>
      </w:pPr>
      <w:r>
        <w:separator/>
      </w:r>
    </w:p>
  </w:endnote>
  <w:endnote w:type="continuationSeparator" w:id="0">
    <w:p w:rsidR="00B13C30" w:rsidRDefault="00B13C30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30" w:rsidRDefault="00B13C30" w:rsidP="006B0271">
      <w:pPr>
        <w:spacing w:after="0" w:line="240" w:lineRule="auto"/>
      </w:pPr>
      <w:r>
        <w:separator/>
      </w:r>
    </w:p>
  </w:footnote>
  <w:footnote w:type="continuationSeparator" w:id="0">
    <w:p w:rsidR="00B13C30" w:rsidRDefault="00B13C30" w:rsidP="006B0271">
      <w:pPr>
        <w:spacing w:after="0" w:line="240" w:lineRule="auto"/>
      </w:pPr>
      <w:r>
        <w:continuationSeparator/>
      </w:r>
    </w:p>
  </w:footnote>
  <w:footnote w:id="1">
    <w:p w:rsidR="00B13C30" w:rsidRPr="00AD41AC" w:rsidRDefault="00B13C3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B13C30" w:rsidRDefault="00B13C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30" w:rsidRDefault="00B13C3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13C30"/>
    <w:rsid w:val="00B262AD"/>
    <w:rsid w:val="00B319F2"/>
    <w:rsid w:val="00B35D7B"/>
    <w:rsid w:val="00B52070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4081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2018-03-21T13:23:00Z</dcterms:modified>
</cp:coreProperties>
</file>