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Úrad vlády </w:t>
      </w:r>
      <w:r w:rsidR="00EC7A45" w:rsidRPr="004A6A07">
        <w:rPr>
          <w:rFonts w:asciiTheme="minorHAnsi" w:hAnsiTheme="minorHAnsi"/>
        </w:rPr>
        <w:t>Slovenskej republiky (ďalej aj „Úrad vlády SR“ alebo „ÚV 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700301" w:rsidRPr="00D7167A">
        <w:rPr>
          <w:rFonts w:asciiTheme="minorHAnsi" w:hAnsiTheme="minorHAnsi" w:cstheme="minorHAnsi"/>
        </w:rPr>
        <w:t>Námestie slobody 1, 813 70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B60DD0" w:rsidRPr="004A6A07">
        <w:rPr>
          <w:b/>
        </w:rPr>
        <w:t>12 317 956</w:t>
      </w:r>
      <w:r w:rsidR="00B60DD0">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lastRenderedPageBreak/>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lastRenderedPageBreak/>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4A6A07">
      <w:pPr>
        <w:spacing w:before="120" w:after="120" w:line="240" w:lineRule="auto"/>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4A6A07">
      <w:pPr>
        <w:spacing w:before="120" w:after="120" w:line="240" w:lineRule="auto"/>
        <w:ind w:firstLine="357"/>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4A6A07">
      <w:pPr>
        <w:spacing w:before="120" w:after="120" w:line="240" w:lineRule="auto"/>
        <w:ind w:firstLine="357"/>
        <w:jc w:val="both"/>
      </w:pPr>
      <w:r w:rsidRPr="00C62961">
        <w:t>Posudzovaným obdobím tohto vyzvania je kalendárny týždeň, pričom posudzovanie žiadosti začne v prvý pracovný deň nasledujúceho týždňa.</w:t>
      </w:r>
    </w:p>
    <w:p w:rsidR="00220D59" w:rsidRDefault="00220D59" w:rsidP="004A6A07">
      <w:pPr>
        <w:spacing w:before="120" w:after="120" w:line="240" w:lineRule="auto"/>
        <w:ind w:firstLine="357"/>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4A6A07">
      <w:pPr>
        <w:spacing w:before="120" w:after="120" w:line="240" w:lineRule="auto"/>
        <w:ind w:firstLine="357"/>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lastRenderedPageBreak/>
        <w:t>doporučenou poštou alebo kuriérskou službou na adresu:</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4A6A07">
      <w:pPr>
        <w:pStyle w:val="Odsekzoznamu"/>
        <w:numPr>
          <w:ilvl w:val="1"/>
          <w:numId w:val="6"/>
        </w:numPr>
        <w:spacing w:before="120" w:after="120"/>
        <w:ind w:left="1092"/>
        <w:contextualSpacing w:val="0"/>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r w:rsidR="00330F05">
        <w:rPr>
          <w:rFonts w:asciiTheme="minorHAnsi" w:hAnsiTheme="minorHAnsi"/>
          <w:sz w:val="22"/>
          <w:szCs w:val="22"/>
        </w:rPr>
        <w:t>.</w:t>
      </w:r>
      <w:r w:rsidRPr="00C92C97">
        <w:rPr>
          <w:rFonts w:asciiTheme="minorHAnsi" w:hAnsiTheme="minorHAnsi"/>
          <w:sz w:val="22"/>
          <w:szCs w:val="22"/>
        </w:rPr>
        <w:t>):</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Úrad vlády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Radlinského 13</w:t>
      </w:r>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811 07 </w:t>
      </w:r>
      <w:r w:rsidRPr="002D08EE">
        <w:rPr>
          <w:rFonts w:asciiTheme="minorHAnsi" w:hAnsiTheme="minorHAnsi"/>
        </w:rPr>
        <w:t>Bratislava</w:t>
      </w:r>
      <w:r>
        <w:rPr>
          <w:rFonts w:asciiTheme="minorHAnsi" w:hAnsiTheme="minorHAnsi"/>
        </w:rPr>
        <w:t xml:space="preserve"> 1</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330F05"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ŽoNFP v listinnej podobe. </w:t>
      </w:r>
    </w:p>
    <w:p w:rsidR="00C4040F" w:rsidRPr="003B0CE6" w:rsidRDefault="00C4040F" w:rsidP="004A6A07">
      <w:pPr>
        <w:spacing w:before="120" w:after="120" w:line="240" w:lineRule="auto"/>
        <w:ind w:left="709" w:hanging="6"/>
        <w:jc w:val="both"/>
      </w:pPr>
    </w:p>
    <w:p w:rsidR="00694F7B" w:rsidRPr="004A6A07" w:rsidRDefault="00120AD4" w:rsidP="004A6A07">
      <w:pPr>
        <w:pStyle w:val="Default"/>
        <w:numPr>
          <w:ilvl w:val="0"/>
          <w:numId w:val="35"/>
        </w:numPr>
        <w:spacing w:before="120" w:after="120"/>
        <w:jc w:val="both"/>
        <w:rPr>
          <w:rFonts w:asciiTheme="minorHAnsi" w:hAnsiTheme="minorHAnsi"/>
        </w:rPr>
      </w:pPr>
      <w:r w:rsidRPr="004A6A07">
        <w:rPr>
          <w:rFonts w:asciiTheme="minorHAnsi" w:hAnsiTheme="minorHAnsi"/>
        </w:rPr>
        <w:t xml:space="preserve">V zmysle zákona o e-Governmente môže žiadateľ </w:t>
      </w:r>
      <w:r w:rsidR="00236043" w:rsidRPr="004A6A07">
        <w:rPr>
          <w:rFonts w:asciiTheme="minorHAnsi" w:hAnsiTheme="minorHAnsi"/>
        </w:rPr>
        <w:t xml:space="preserve">listinné </w:t>
      </w:r>
      <w:r w:rsidRPr="004A6A07">
        <w:rPr>
          <w:rFonts w:asciiTheme="minorHAnsi" w:hAnsiTheme="minorHAnsi"/>
        </w:rPr>
        <w:t xml:space="preserve">doručenie ŽoNFP nahradiť </w:t>
      </w:r>
      <w:r w:rsidRPr="004A6A07">
        <w:rPr>
          <w:rFonts w:asciiTheme="minorHAnsi" w:hAnsiTheme="minorHAnsi"/>
          <w:b/>
        </w:rPr>
        <w:t>elektronickým doručením prostredníctvom Ústredného portálu verejnej správy</w:t>
      </w:r>
      <w:r w:rsidRPr="004A6A07">
        <w:rPr>
          <w:rFonts w:asciiTheme="minorHAnsi" w:hAnsiTheme="minorHAnsi"/>
        </w:rPr>
        <w:t xml:space="preserve"> (</w:t>
      </w:r>
      <w:r w:rsidR="00236043" w:rsidRPr="004A6A07">
        <w:rPr>
          <w:rFonts w:asciiTheme="minorHAnsi" w:hAnsiTheme="minorHAnsi"/>
        </w:rPr>
        <w:t>ďalej aj „</w:t>
      </w:r>
      <w:r w:rsidRPr="004A6A07">
        <w:rPr>
          <w:rFonts w:asciiTheme="minorHAnsi" w:hAnsiTheme="minorHAnsi"/>
        </w:rPr>
        <w:t>ÚP VS</w:t>
      </w:r>
      <w:r w:rsidR="00236043" w:rsidRPr="004A6A07">
        <w:rPr>
          <w:rFonts w:asciiTheme="minorHAnsi" w:hAnsiTheme="minorHAnsi"/>
        </w:rPr>
        <w:t>“)</w:t>
      </w:r>
      <w:r w:rsidRPr="004A6A07">
        <w:rPr>
          <w:rFonts w:asciiTheme="minorHAnsi" w:hAnsiTheme="minorHAnsi"/>
        </w:rPr>
        <w:t xml:space="preserve"> </w:t>
      </w:r>
      <w:r w:rsidR="00236043" w:rsidRPr="004A6A07">
        <w:rPr>
          <w:rFonts w:asciiTheme="minorHAnsi" w:hAnsiTheme="minorHAnsi"/>
        </w:rPr>
        <w:t xml:space="preserve">do elektronickej schránky RO OP TP </w:t>
      </w:r>
      <w:r w:rsidRPr="004A6A07">
        <w:rPr>
          <w:rFonts w:asciiTheme="minorHAnsi" w:hAnsiTheme="minorHAnsi"/>
        </w:rPr>
        <w:t>(</w:t>
      </w:r>
      <w:r w:rsidR="00236043" w:rsidRPr="004A6A07">
        <w:rPr>
          <w:rFonts w:asciiTheme="minorHAnsi" w:hAnsiTheme="minorHAnsi"/>
        </w:rPr>
        <w:t xml:space="preserve">ÚP VS na adrese </w:t>
      </w:r>
      <w:hyperlink r:id="rId9" w:history="1">
        <w:r w:rsidR="004C7CEB" w:rsidRPr="004A6A07">
          <w:rPr>
            <w:rStyle w:val="Hypertextovprepojenie"/>
            <w:rFonts w:asciiTheme="minorHAnsi" w:hAnsiTheme="minorHAnsi"/>
          </w:rPr>
          <w:t>www.slovensko</w:t>
        </w:r>
        <w:r w:rsidR="004C7CEB" w:rsidRPr="004D5D0F">
          <w:rPr>
            <w:rStyle w:val="Hypertextovprepojenie"/>
            <w:rFonts w:asciiTheme="minorHAnsi" w:hAnsiTheme="minorHAnsi"/>
          </w:rPr>
          <w:t>.</w:t>
        </w:r>
        <w:r w:rsidR="004C7CEB" w:rsidRPr="00430294">
          <w:rPr>
            <w:rStyle w:val="Hypertextovprepojenie"/>
            <w:rFonts w:asciiTheme="minorHAnsi" w:hAnsiTheme="minorHAnsi" w:cs="Times New Roman"/>
            <w:sz w:val="22"/>
            <w:szCs w:val="22"/>
          </w:rPr>
          <w:t>sk</w:t>
        </w:r>
      </w:hyperlink>
      <w:r w:rsidR="00236043" w:rsidRPr="004A6A07">
        <w:rPr>
          <w:rFonts w:asciiTheme="minorHAnsi" w:hAnsiTheme="minorHAnsi"/>
        </w:rPr>
        <w:t xml:space="preserve">, </w:t>
      </w:r>
      <w:r w:rsidRPr="004A6A07">
        <w:rPr>
          <w:rFonts w:asciiTheme="minorHAnsi" w:hAnsiTheme="minorHAnsi"/>
        </w:rPr>
        <w:t>špeciálna služba ÚV SR zriadená pre takéto podanie</w:t>
      </w:r>
      <w:r w:rsidR="00236043" w:rsidRPr="004A6A07">
        <w:rPr>
          <w:rFonts w:asciiTheme="minorHAnsi" w:hAnsiTheme="minorHAnsi"/>
        </w:rPr>
        <w:t xml:space="preserve"> „</w:t>
      </w:r>
      <w:r w:rsidR="00236043" w:rsidRPr="004A6A07">
        <w:rPr>
          <w:rFonts w:asciiTheme="minorHAnsi" w:hAnsiTheme="minorHAnsi"/>
          <w:b/>
        </w:rPr>
        <w:t>Podanie na RO OP TP - dokumenty k projektom</w:t>
      </w:r>
      <w:r w:rsidR="00236043" w:rsidRPr="004A6A07">
        <w:rPr>
          <w:rFonts w:asciiTheme="minorHAnsi" w:hAnsiTheme="minorHAnsi"/>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r w:rsidRPr="004A6A07">
        <w:t>ŽoNFP iba vloží do ITMS2014+, nezasiela ich do elektronickej schránky RO OP TP. V  prípade prílohy Splnomocnenia 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lastRenderedPageBreak/>
        <w:t>V prípade, ak žiadateľ predloží ŽoNFP bez príloh elektronickým spôsobom a má aktivovanú elektronickú schránku, RO OP TP je povinný doručovať všetky rozhodnutia, vydané v konaní o ŽoNFP elektronicky, v súlade so zákonom o e-Governmente.</w:t>
      </w:r>
    </w:p>
    <w:p w:rsidR="00120AD4" w:rsidRPr="00F75923" w:rsidRDefault="00120AD4" w:rsidP="004A6A07">
      <w:pPr>
        <w:pStyle w:val="Default"/>
        <w:spacing w:before="120" w:after="120"/>
        <w:ind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4A6A07">
      <w:pPr>
        <w:pStyle w:val="Default"/>
        <w:spacing w:before="120" w:after="120"/>
        <w:ind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4A6A07">
      <w:pPr>
        <w:spacing w:before="120" w:after="120" w:line="240" w:lineRule="auto"/>
        <w:ind w:firstLine="360"/>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4A6A07">
      <w:pPr>
        <w:spacing w:before="120" w:after="120" w:line="240" w:lineRule="auto"/>
        <w:ind w:firstLine="360"/>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4A6A07">
      <w:pPr>
        <w:spacing w:before="120" w:after="120" w:line="240" w:lineRule="auto"/>
        <w:ind w:firstLine="360"/>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4A6A07">
      <w:pPr>
        <w:spacing w:before="120" w:after="120" w:line="240" w:lineRule="auto"/>
        <w:ind w:firstLine="360"/>
        <w:jc w:val="both"/>
      </w:pPr>
      <w:r w:rsidRPr="00FC0520">
        <w:t xml:space="preserve">Všeobecné informácie o operačnom programe Technická pomoc a podporné dokumenty sú zverejnené na webovom sídle Úradu vlády Slovenskej republiky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4A6A07">
      <w:pPr>
        <w:spacing w:before="120" w:after="120" w:line="240" w:lineRule="auto"/>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Námestie slobody 1</w:t>
      </w:r>
    </w:p>
    <w:p w:rsidR="003A2C31" w:rsidRPr="003A2C31" w:rsidRDefault="00CB212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sekcia operačných programov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w:t>
      </w:r>
      <w:r w:rsidR="008657DC">
        <w:rPr>
          <w:rFonts w:asciiTheme="minorHAnsi" w:eastAsiaTheme="minorHAnsi" w:hAnsiTheme="minorHAnsi" w:cs="Times New Roman"/>
          <w:sz w:val="22"/>
          <w:szCs w:val="22"/>
        </w:rPr>
        <w:t xml:space="preserve">7 </w:t>
      </w:r>
      <w:r w:rsidR="003A2C31" w:rsidRPr="003A2C31">
        <w:rPr>
          <w:rFonts w:asciiTheme="minorHAnsi" w:eastAsiaTheme="minorHAnsi" w:hAnsiTheme="minorHAnsi" w:cs="Times New Roman"/>
          <w:sz w:val="22"/>
          <w:szCs w:val="22"/>
        </w:rPr>
        <w:t>Bratislava</w:t>
      </w:r>
      <w:r w:rsidR="000E747D">
        <w:rPr>
          <w:rFonts w:asciiTheme="minorHAnsi" w:eastAsiaTheme="minorHAnsi" w:hAnsiTheme="minorHAnsi" w:cs="Times New Roman"/>
          <w:sz w:val="22"/>
          <w:szCs w:val="22"/>
        </w:rPr>
        <w:t xml:space="preserve"> 1</w:t>
      </w:r>
    </w:p>
    <w:p w:rsidR="003A2C31" w:rsidRPr="003A2C31" w:rsidRDefault="003A2C31" w:rsidP="004A6A07">
      <w:pPr>
        <w:spacing w:before="120" w:after="120" w:line="240" w:lineRule="auto"/>
        <w:ind w:firstLine="357"/>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4A6A07">
      <w:pPr>
        <w:spacing w:before="120" w:after="120" w:line="240" w:lineRule="auto"/>
        <w:ind w:firstLine="357"/>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4A6A07">
      <w:pPr>
        <w:spacing w:before="120" w:after="120" w:line="240" w:lineRule="auto"/>
        <w:ind w:firstLine="357"/>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(od 1.6.2016)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Pr="005222B0"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(od 2.11.2017)</w:t>
      </w:r>
    </w:p>
    <w:p w:rsidR="00B30996" w:rsidRPr="004A6A07" w:rsidRDefault="005D62FE" w:rsidP="004A6A07">
      <w:pPr>
        <w:spacing w:before="120" w:after="120" w:line="240" w:lineRule="auto"/>
        <w:ind w:firstLine="360"/>
        <w:contextualSpacing/>
        <w:jc w:val="both"/>
        <w:rPr>
          <w:rFonts w:asciiTheme="minorHAnsi" w:hAnsiTheme="minorHAnsi"/>
          <w:b/>
        </w:rPr>
      </w:pPr>
      <w:r>
        <w:rPr>
          <w:rFonts w:asciiTheme="minorHAnsi" w:hAnsiTheme="minorHAnsi"/>
          <w:b/>
        </w:rPr>
        <w:t>V</w:t>
      </w:r>
      <w:r w:rsidR="00B30996" w:rsidRPr="005D62FE">
        <w:rPr>
          <w:rFonts w:asciiTheme="minorHAnsi" w:hAnsiTheme="minorHAnsi"/>
          <w:b/>
        </w:rPr>
        <w:t> rámci aktivity 301010021A007 - B. Zabezpečenie výmeny informácií na úrovni subjektov zapojených do riadenia, monitorovania, hodnotenia, informovania a komunikácie, budovania sietí, riešenia podaní a podnetov, kontroly a auditu EŠIF</w:t>
      </w:r>
    </w:p>
    <w:p w:rsidR="00FD4C06" w:rsidRPr="00CD1A3F" w:rsidRDefault="00FD4C06" w:rsidP="005222B0">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D4C06" w:rsidRDefault="00FD4C06" w:rsidP="005222B0">
      <w:pPr>
        <w:spacing w:after="0" w:line="240" w:lineRule="auto"/>
        <w:ind w:left="1077" w:firstLine="340"/>
        <w:rPr>
          <w:rFonts w:asciiTheme="minorHAnsi" w:hAnsiTheme="minorHAnsi"/>
        </w:rPr>
      </w:pPr>
      <w:r w:rsidRPr="00F43559">
        <w:rPr>
          <w:rFonts w:asciiTheme="minorHAnsi" w:hAnsiTheme="minorHAnsi"/>
        </w:rPr>
        <w:t>(od 1.6.2016)</w:t>
      </w:r>
    </w:p>
    <w:p w:rsidR="00FD4C06" w:rsidRPr="0001094B" w:rsidRDefault="00FD4C06" w:rsidP="004A6A07">
      <w:pPr>
        <w:pStyle w:val="Odsekzoznamu"/>
        <w:numPr>
          <w:ilvl w:val="0"/>
          <w:numId w:val="7"/>
        </w:numPr>
        <w:spacing w:before="120" w:after="120"/>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1.6.2016)</w:t>
      </w:r>
    </w:p>
    <w:p w:rsidR="00FD4C06" w:rsidRDefault="00FD4C06" w:rsidP="004A6A07">
      <w:pPr>
        <w:pStyle w:val="Odsekzoznamu"/>
        <w:numPr>
          <w:ilvl w:val="0"/>
          <w:numId w:val="7"/>
        </w:numPr>
        <w:spacing w:before="120" w:after="120"/>
        <w:ind w:left="714" w:hanging="357"/>
        <w:rPr>
          <w:rFonts w:asciiTheme="minorHAnsi" w:hAnsiTheme="minorHAnsi"/>
          <w:sz w:val="22"/>
          <w:szCs w:val="22"/>
        </w:rPr>
      </w:pPr>
      <w:r w:rsidRPr="00F32903">
        <w:rPr>
          <w:rFonts w:asciiTheme="minorHAnsi" w:hAnsiTheme="minorHAnsi"/>
          <w:sz w:val="22"/>
          <w:szCs w:val="22"/>
        </w:rPr>
        <w:t>Protimonopolný úrad Slovenskej republiky</w:t>
      </w:r>
      <w:r>
        <w:rPr>
          <w:rFonts w:asciiTheme="minorHAnsi" w:hAnsiTheme="minorHAnsi"/>
          <w:sz w:val="22"/>
          <w:szCs w:val="22"/>
        </w:rPr>
        <w:t>:</w:t>
      </w:r>
    </w:p>
    <w:p w:rsidR="00F32903" w:rsidRPr="00F32903" w:rsidRDefault="00FD4C06" w:rsidP="004A6A07">
      <w:pPr>
        <w:pStyle w:val="Odsekzoznamu"/>
        <w:numPr>
          <w:ilvl w:val="1"/>
          <w:numId w:val="7"/>
        </w:numPr>
        <w:spacing w:before="120" w:after="120"/>
        <w:rPr>
          <w:rFonts w:asciiTheme="minorHAnsi" w:hAnsiTheme="minorHAnsi"/>
          <w:sz w:val="22"/>
          <w:szCs w:val="22"/>
        </w:rPr>
      </w:pPr>
      <w:r w:rsidRPr="00F32903">
        <w:rPr>
          <w:rFonts w:asciiTheme="minorHAnsi" w:hAnsiTheme="minorHAnsi"/>
          <w:sz w:val="22"/>
          <w:szCs w:val="22"/>
        </w:rPr>
        <w:t>ako koordinátor štátnej pomoci</w:t>
      </w:r>
      <w:r w:rsidR="00F32903" w:rsidRPr="00F32903">
        <w:rPr>
          <w:rFonts w:asciiTheme="minorHAnsi" w:hAnsiTheme="minorHAnsi"/>
          <w:sz w:val="22"/>
          <w:szCs w:val="22"/>
        </w:rPr>
        <w:t xml:space="preserve"> </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v časti č. 15 vo formulári ŽoNFP);</w:t>
      </w:r>
    </w:p>
    <w:p w:rsidR="00B40AB0" w:rsidRPr="004A6A07" w:rsidRDefault="00B40AB0" w:rsidP="004A6A07">
      <w:pPr>
        <w:pStyle w:val="Odsekzoznamu"/>
        <w:numPr>
          <w:ilvl w:val="0"/>
          <w:numId w:val="7"/>
        </w:numPr>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voči žiadateľovi sa nenárokuje vrátenie pomoci na základe rozhodnutia Európskej komisie, ktorým bola pomoc označená za neoprávnenú a nezlučiteľnú so spoločným trhom</w:t>
      </w:r>
    </w:p>
    <w:p w:rsidR="00B40AB0" w:rsidRDefault="00B40AB0"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(podmienka sa preukazuje čestným vyhlásením žiadateľa v časti č. 15 vo formulári ŽoNFP).</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B30996" w:rsidRDefault="00B30996"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sidRPr="00B30996">
        <w:rPr>
          <w:rFonts w:asciiTheme="minorHAnsi" w:hAnsiTheme="minorHAnsi"/>
          <w:b/>
          <w:sz w:val="22"/>
          <w:szCs w:val="22"/>
        </w:rPr>
        <w:t>7</w:t>
      </w:r>
      <w:r w:rsidRPr="00006D41">
        <w:rPr>
          <w:rFonts w:asciiTheme="minorHAnsi" w:hAnsiTheme="minorHAnsi"/>
          <w:b/>
          <w:sz w:val="22"/>
          <w:szCs w:val="22"/>
        </w:rPr>
        <w:t xml:space="preserve"> - </w:t>
      </w:r>
      <w:r w:rsidRPr="00B30996">
        <w:rPr>
          <w:rFonts w:asciiTheme="minorHAnsi" w:hAnsiTheme="minorHAnsi"/>
          <w:b/>
          <w:sz w:val="22"/>
          <w:szCs w:val="22"/>
        </w:rPr>
        <w:t>B. Zabezpečenie výmeny informácií na úrovni subjektov zapojených do riadenia, monitorovania, hodnotenia, informovania a komunikácie, budovania sietí, riešenia podaní a podnetov, kontroly a auditu EŠIF</w:t>
      </w:r>
    </w:p>
    <w:p w:rsidR="001568D1" w:rsidRPr="004A6A07" w:rsidRDefault="001568D1" w:rsidP="004A6A07">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4A6A07"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4A6A07">
        <w:rPr>
          <w:rFonts w:asciiTheme="minorHAnsi" w:hAnsiTheme="minorHAnsi"/>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4A6A07">
      <w:pPr>
        <w:pStyle w:val="Odsekzoznamu"/>
        <w:numPr>
          <w:ilvl w:val="0"/>
          <w:numId w:val="7"/>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A6A07">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E81977" w:rsidRPr="004A6A07" w:rsidRDefault="007065EB"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r w:rsidR="000605DD" w:rsidRPr="004A6A07">
        <w:rPr>
          <w:rFonts w:asciiTheme="minorHAnsi" w:hAnsiTheme="minorHAnsi"/>
          <w:color w:val="000000"/>
          <w:sz w:val="22"/>
          <w:szCs w:val="22"/>
        </w:rPr>
        <w:t>podľa aktivity</w:t>
      </w:r>
      <w:r w:rsidRPr="004A6A07">
        <w:rPr>
          <w:rFonts w:asciiTheme="minorHAnsi" w:hAnsiTheme="minorHAnsi"/>
          <w:color w:val="000000"/>
          <w:sz w:val="22"/>
          <w:szCs w:val="22"/>
        </w:rPr>
        <w:t xml:space="preserve">: </w:t>
      </w:r>
    </w:p>
    <w:tbl>
      <w:tblPr>
        <w:tblW w:w="9157" w:type="dxa"/>
        <w:tblInd w:w="55" w:type="dxa"/>
        <w:tblCellMar>
          <w:left w:w="70" w:type="dxa"/>
          <w:right w:w="70" w:type="dxa"/>
        </w:tblCellMar>
        <w:tblLook w:val="04A0" w:firstRow="1" w:lastRow="0" w:firstColumn="1" w:lastColumn="0" w:noHBand="0" w:noVBand="1"/>
      </w:tblPr>
      <w:tblGrid>
        <w:gridCol w:w="10418"/>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4A6A07">
            <w:pPr>
              <w:pStyle w:val="Odsekzoznamu"/>
              <w:autoSpaceDE w:val="0"/>
              <w:autoSpaceDN w:val="0"/>
              <w:adjustRightInd w:val="0"/>
              <w:spacing w:before="120" w:after="12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D4B4E" w:rsidRPr="00A1007F" w:rsidRDefault="00CD4B4E" w:rsidP="004A6A07">
                  <w:pPr>
                    <w:spacing w:before="120" w:after="120" w:line="240" w:lineRule="auto"/>
                    <w:ind w:left="584"/>
                    <w:contextualSpacing/>
                    <w:rPr>
                      <w:rFonts w:asciiTheme="minorHAnsi" w:hAnsiTheme="minorHAnsi"/>
                    </w:rPr>
                  </w:pPr>
                  <w:r w:rsidRPr="00CD4B4E">
                    <w:rPr>
                      <w:rFonts w:asciiTheme="minorHAnsi" w:hAnsiTheme="minorHAnsi"/>
                      <w:szCs w:val="20"/>
                    </w:rPr>
                    <w:t xml:space="preserve">019 </w:t>
                  </w:r>
                  <w:r>
                    <w:rPr>
                      <w:rFonts w:asciiTheme="minorHAnsi" w:hAnsiTheme="minorHAnsi"/>
                      <w:szCs w:val="20"/>
                    </w:rPr>
                    <w:t xml:space="preserve">- </w:t>
                  </w:r>
                  <w:r w:rsidRPr="00CD4B4E">
                    <w:rPr>
                      <w:rFonts w:asciiTheme="minorHAnsi" w:hAnsiTheme="minorHAnsi"/>
                      <w:szCs w:val="20"/>
                    </w:rPr>
                    <w:t>Ostatný dlhodobý nehmotný majetok</w:t>
                  </w:r>
                </w:p>
                <w:p w:rsidR="00A7192C" w:rsidRPr="00A7192C" w:rsidRDefault="00A7192C" w:rsidP="004A6A07">
                  <w:pPr>
                    <w:spacing w:before="120" w:after="120" w:line="240" w:lineRule="auto"/>
                    <w:ind w:left="584"/>
                    <w:contextualSpacing/>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512 - Cestovné náhrady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518 - Ostatné služby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521 - Mzdové výdavky</w:t>
                  </w:r>
                </w:p>
                <w:p w:rsidR="00C4040F" w:rsidRDefault="00C4040F" w:rsidP="004A6A07">
                  <w:pPr>
                    <w:spacing w:before="120" w:after="120" w:line="240" w:lineRule="auto"/>
                    <w:ind w:left="584"/>
                    <w:contextualSpacing/>
                    <w:rPr>
                      <w:rFonts w:asciiTheme="minorHAnsi" w:hAnsiTheme="minorHAnsi"/>
                      <w:szCs w:val="20"/>
                    </w:rPr>
                  </w:pPr>
                </w:p>
                <w:p w:rsidR="00A7192C" w:rsidRPr="00C4040F" w:rsidRDefault="00A7192C" w:rsidP="004A6A07">
                  <w:pPr>
                    <w:spacing w:before="120" w:after="120" w:line="240" w:lineRule="auto"/>
                    <w:contextualSpacing/>
                    <w:rPr>
                      <w:rFonts w:asciiTheme="minorHAnsi" w:hAnsiTheme="minorHAnsi"/>
                      <w:szCs w:val="20"/>
                    </w:rPr>
                  </w:pPr>
                </w:p>
              </w:tc>
            </w:tr>
          </w:tbl>
          <w:p w:rsidR="000605DD" w:rsidRPr="000605DD" w:rsidRDefault="000605DD" w:rsidP="004A6A07">
            <w:pPr>
              <w:spacing w:before="120" w:after="120" w:line="240" w:lineRule="auto"/>
              <w:ind w:left="654"/>
              <w:contextualSpacing/>
              <w:rPr>
                <w:rFonts w:eastAsia="Times New Roman"/>
                <w:b/>
                <w:bCs/>
                <w:color w:val="000000"/>
                <w:lang w:eastAsia="sk-SK"/>
              </w:rPr>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CC399F" w:rsidRDefault="00B30996" w:rsidP="004A6A07">
            <w:pPr>
              <w:spacing w:before="120" w:after="120" w:line="240" w:lineRule="auto"/>
              <w:ind w:left="654"/>
              <w:contextualSpacing/>
              <w:rPr>
                <w:rFonts w:asciiTheme="minorHAnsi" w:hAnsiTheme="minorHAnsi"/>
                <w:b/>
              </w:rPr>
            </w:pPr>
            <w:r w:rsidRPr="00F32903">
              <w:rPr>
                <w:rFonts w:asciiTheme="minorHAnsi" w:hAnsiTheme="minorHAnsi"/>
                <w:b/>
              </w:rPr>
              <w:lastRenderedPageBreak/>
              <w:t>301010021A00</w:t>
            </w:r>
            <w:r w:rsidRPr="00B30996">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r>
              <w:rPr>
                <w:rFonts w:asciiTheme="minorHAnsi" w:hAnsiTheme="minorHAnsi"/>
                <w:b/>
              </w:rPr>
              <w:t xml:space="preserve"> </w:t>
            </w:r>
          </w:p>
          <w:p w:rsidR="00B30996" w:rsidRDefault="00B30996" w:rsidP="004A6A07">
            <w:pPr>
              <w:spacing w:before="120" w:after="120" w:line="240" w:lineRule="auto"/>
              <w:ind w:left="654"/>
              <w:contextualSpacing/>
              <w:rPr>
                <w:rFonts w:asciiTheme="minorHAnsi" w:hAnsiTheme="minorHAnsi"/>
                <w:b/>
              </w:rPr>
            </w:pPr>
          </w:p>
          <w:tbl>
            <w:tblPr>
              <w:tblW w:w="10278" w:type="dxa"/>
              <w:tblCellMar>
                <w:left w:w="70" w:type="dxa"/>
                <w:right w:w="70" w:type="dxa"/>
              </w:tblCellMar>
              <w:tblLook w:val="04A0" w:firstRow="1" w:lastRow="0" w:firstColumn="1" w:lastColumn="0" w:noHBand="0" w:noVBand="1"/>
            </w:tblPr>
            <w:tblGrid>
              <w:gridCol w:w="5139"/>
              <w:gridCol w:w="5139"/>
            </w:tblGrid>
            <w:tr w:rsidR="00A7192C" w:rsidRPr="00C5648D" w:rsidTr="00122DE0">
              <w:trPr>
                <w:trHeight w:val="300"/>
              </w:trPr>
              <w:tc>
                <w:tcPr>
                  <w:tcW w:w="5139" w:type="dxa"/>
                  <w:vMerge w:val="restart"/>
                  <w:tcBorders>
                    <w:top w:val="nil"/>
                    <w:left w:val="nil"/>
                    <w:right w:val="nil"/>
                  </w:tcBorders>
                  <w:vAlign w:val="bottom"/>
                </w:tcPr>
                <w:p w:rsidR="00A7192C" w:rsidRPr="004A6A07" w:rsidRDefault="00A7192C" w:rsidP="004A6A07">
                  <w:pPr>
                    <w:spacing w:before="120" w:after="120" w:line="240" w:lineRule="auto"/>
                    <w:ind w:left="584"/>
                    <w:contextualSpacing/>
                    <w:rPr>
                      <w:rFonts w:asciiTheme="minorHAnsi" w:eastAsia="Times New Roman" w:hAnsiTheme="minorHAnsi" w:cs="Arial"/>
                      <w:lang w:eastAsia="sk-SK"/>
                    </w:rPr>
                  </w:pPr>
                  <w:r w:rsidRPr="004A6A07">
                    <w:rPr>
                      <w:rFonts w:asciiTheme="minorHAnsi" w:eastAsia="Times New Roman" w:hAnsiTheme="minorHAnsi" w:cs="Arial"/>
                      <w:lang w:eastAsia="sk-SK"/>
                    </w:rPr>
                    <w:t>013 - Softvér</w:t>
                  </w:r>
                </w:p>
                <w:p w:rsidR="00A7192C" w:rsidRPr="004A6A07" w:rsidRDefault="00A7192C" w:rsidP="004A6A07">
                  <w:pPr>
                    <w:spacing w:before="120" w:after="120" w:line="240" w:lineRule="auto"/>
                    <w:ind w:left="584"/>
                    <w:contextualSpacing/>
                    <w:rPr>
                      <w:rFonts w:asciiTheme="minorHAnsi" w:eastAsia="Times New Roman" w:hAnsiTheme="minorHAnsi" w:cs="Arial"/>
                      <w:lang w:eastAsia="sk-SK"/>
                    </w:rPr>
                  </w:pPr>
                  <w:r w:rsidRPr="004A6A07">
                    <w:rPr>
                      <w:rFonts w:asciiTheme="minorHAnsi" w:eastAsia="Times New Roman" w:hAnsiTheme="minorHAnsi" w:cs="Arial"/>
                      <w:lang w:eastAsia="sk-SK"/>
                    </w:rPr>
                    <w:t>014 - Oceniteľné práva</w:t>
                  </w:r>
                </w:p>
                <w:p w:rsidR="00C35B8B" w:rsidRPr="004A6A07" w:rsidRDefault="00C35B8B" w:rsidP="004A6A07">
                  <w:pPr>
                    <w:spacing w:before="120" w:after="120" w:line="240" w:lineRule="auto"/>
                    <w:ind w:left="584"/>
                    <w:contextualSpacing/>
                    <w:rPr>
                      <w:rFonts w:asciiTheme="minorHAnsi" w:eastAsia="Times New Roman" w:hAnsiTheme="minorHAnsi" w:cs="Arial"/>
                      <w:lang w:eastAsia="sk-SK"/>
                    </w:rPr>
                  </w:pPr>
                  <w:r w:rsidRPr="00A5746D">
                    <w:rPr>
                      <w:rFonts w:asciiTheme="minorHAnsi" w:hAnsiTheme="minorHAnsi"/>
                    </w:rPr>
                    <w:t>019 - Ostatný dlhodobý nehmotný majetok</w:t>
                  </w:r>
                </w:p>
                <w:p w:rsidR="005F4BF0" w:rsidRPr="00A5746D" w:rsidRDefault="005F4BF0" w:rsidP="004A6A07">
                  <w:pPr>
                    <w:spacing w:before="120" w:after="120" w:line="240" w:lineRule="auto"/>
                    <w:ind w:left="584"/>
                    <w:contextualSpacing/>
                    <w:rPr>
                      <w:rFonts w:asciiTheme="minorHAnsi" w:hAnsiTheme="minorHAnsi"/>
                    </w:rPr>
                  </w:pPr>
                  <w:r w:rsidRPr="00A5746D">
                    <w:rPr>
                      <w:rFonts w:asciiTheme="minorHAnsi" w:hAnsiTheme="minorHAnsi"/>
                    </w:rPr>
                    <w:t>112 - Zásoby</w:t>
                  </w:r>
                </w:p>
                <w:p w:rsidR="00A7192C" w:rsidRPr="00A5746D" w:rsidRDefault="00A7192C" w:rsidP="004A6A07">
                  <w:pPr>
                    <w:spacing w:before="120" w:after="120" w:line="240" w:lineRule="auto"/>
                    <w:ind w:left="584"/>
                    <w:contextualSpacing/>
                    <w:rPr>
                      <w:rFonts w:asciiTheme="minorHAnsi" w:hAnsiTheme="minorHAnsi"/>
                    </w:rPr>
                  </w:pPr>
                  <w:r w:rsidRPr="00A5746D">
                    <w:rPr>
                      <w:rFonts w:asciiTheme="minorHAnsi" w:hAnsiTheme="minorHAnsi"/>
                    </w:rPr>
                    <w:t>511 - Opravy a udržiavanie</w:t>
                  </w:r>
                </w:p>
                <w:p w:rsidR="00A7192C" w:rsidRPr="00A5746D" w:rsidRDefault="00A7192C" w:rsidP="004A6A07">
                  <w:pPr>
                    <w:spacing w:before="120" w:after="120" w:line="240" w:lineRule="auto"/>
                    <w:ind w:left="584"/>
                    <w:contextualSpacing/>
                    <w:rPr>
                      <w:rFonts w:asciiTheme="minorHAnsi" w:hAnsiTheme="minorHAnsi"/>
                    </w:rPr>
                  </w:pPr>
                  <w:r w:rsidRPr="00A5746D">
                    <w:rPr>
                      <w:rFonts w:asciiTheme="minorHAnsi" w:hAnsiTheme="minorHAnsi"/>
                    </w:rPr>
                    <w:t>512 - Cestovné náhrady</w:t>
                  </w:r>
                </w:p>
                <w:p w:rsidR="00A7192C" w:rsidRPr="00A5746D" w:rsidRDefault="00A7192C" w:rsidP="004A6A07">
                  <w:pPr>
                    <w:spacing w:before="120" w:after="120" w:line="240" w:lineRule="auto"/>
                    <w:ind w:left="584"/>
                    <w:contextualSpacing/>
                    <w:rPr>
                      <w:rFonts w:asciiTheme="minorHAnsi" w:hAnsiTheme="minorHAnsi"/>
                    </w:rPr>
                  </w:pPr>
                  <w:r w:rsidRPr="00A5746D">
                    <w:rPr>
                      <w:rFonts w:asciiTheme="minorHAnsi" w:hAnsiTheme="minorHAnsi"/>
                    </w:rPr>
                    <w:t>518 - Ostatné služby</w:t>
                  </w:r>
                </w:p>
                <w:p w:rsidR="00A7192C" w:rsidRPr="00A5746D" w:rsidRDefault="00A7192C" w:rsidP="004A6A07">
                  <w:pPr>
                    <w:spacing w:before="120" w:after="120" w:line="240" w:lineRule="auto"/>
                    <w:ind w:left="584"/>
                    <w:contextualSpacing/>
                    <w:rPr>
                      <w:rFonts w:asciiTheme="minorHAnsi" w:hAnsiTheme="minorHAnsi"/>
                    </w:rPr>
                  </w:pPr>
                  <w:r w:rsidRPr="00A5746D">
                    <w:rPr>
                      <w:rFonts w:asciiTheme="minorHAnsi" w:hAnsiTheme="minorHAnsi"/>
                    </w:rPr>
                    <w:t>521 - Mzdové výdavky</w:t>
                  </w:r>
                </w:p>
                <w:p w:rsidR="00A7192C" w:rsidRPr="000969E9" w:rsidRDefault="00A7192C" w:rsidP="004A6A07">
                  <w:pPr>
                    <w:spacing w:before="120" w:after="120" w:line="240" w:lineRule="auto"/>
                    <w:ind w:left="584"/>
                    <w:contextualSpacing/>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4A6A07">
                  <w:pPr>
                    <w:spacing w:before="120" w:after="120" w:line="240" w:lineRule="auto"/>
                    <w:ind w:left="584"/>
                    <w:contextualSpacing/>
                    <w:rPr>
                      <w:rFonts w:ascii="Arial" w:eastAsia="Times New Roman" w:hAnsi="Arial" w:cs="Arial"/>
                      <w:sz w:val="20"/>
                      <w:szCs w:val="20"/>
                      <w:lang w:eastAsia="sk-SK"/>
                    </w:rPr>
                  </w:pPr>
                </w:p>
              </w:tc>
            </w:tr>
            <w:tr w:rsidR="00A7192C" w:rsidRPr="00C5648D" w:rsidTr="00122DE0">
              <w:trPr>
                <w:trHeight w:val="330"/>
              </w:trPr>
              <w:tc>
                <w:tcPr>
                  <w:tcW w:w="5139" w:type="dxa"/>
                  <w:vMerge/>
                  <w:tcBorders>
                    <w:left w:val="nil"/>
                    <w:right w:val="nil"/>
                  </w:tcBorders>
                  <w:vAlign w:val="bottom"/>
                </w:tcPr>
                <w:p w:rsidR="00A7192C" w:rsidRPr="000969E9" w:rsidRDefault="00A7192C" w:rsidP="004A6A07">
                  <w:pPr>
                    <w:spacing w:before="120" w:after="120" w:line="240" w:lineRule="auto"/>
                    <w:ind w:left="584"/>
                    <w:contextualSpacing/>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4A6A07">
                  <w:pPr>
                    <w:spacing w:before="120" w:after="120" w:line="240" w:lineRule="auto"/>
                    <w:ind w:left="584"/>
                    <w:contextualSpacing/>
                    <w:rPr>
                      <w:rFonts w:ascii="Arial" w:eastAsia="Times New Roman" w:hAnsi="Arial" w:cs="Arial"/>
                      <w:sz w:val="20"/>
                      <w:szCs w:val="20"/>
                      <w:lang w:eastAsia="sk-SK"/>
                    </w:rPr>
                  </w:pPr>
                </w:p>
              </w:tc>
            </w:tr>
            <w:tr w:rsidR="00A7192C" w:rsidRPr="00C5648D" w:rsidTr="00122DE0">
              <w:trPr>
                <w:trHeight w:val="330"/>
              </w:trPr>
              <w:tc>
                <w:tcPr>
                  <w:tcW w:w="5139" w:type="dxa"/>
                  <w:vMerge/>
                  <w:tcBorders>
                    <w:left w:val="nil"/>
                    <w:right w:val="nil"/>
                  </w:tcBorders>
                  <w:vAlign w:val="bottom"/>
                </w:tcPr>
                <w:p w:rsidR="00A7192C" w:rsidRPr="00A7192C" w:rsidRDefault="00A7192C" w:rsidP="004A6A07">
                  <w:pPr>
                    <w:spacing w:before="120" w:after="120" w:line="240" w:lineRule="auto"/>
                    <w:ind w:left="584"/>
                    <w:contextualSpacing/>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4A6A07">
                  <w:pPr>
                    <w:spacing w:before="120" w:after="120" w:line="240" w:lineRule="auto"/>
                    <w:ind w:left="584"/>
                    <w:contextualSpacing/>
                    <w:rPr>
                      <w:rFonts w:ascii="Arial" w:eastAsia="Times New Roman" w:hAnsi="Arial" w:cs="Arial"/>
                      <w:sz w:val="20"/>
                      <w:szCs w:val="20"/>
                      <w:lang w:eastAsia="sk-SK"/>
                    </w:rPr>
                  </w:pPr>
                </w:p>
              </w:tc>
            </w:tr>
            <w:tr w:rsidR="00A7192C" w:rsidRPr="00C5648D" w:rsidTr="00122DE0">
              <w:trPr>
                <w:trHeight w:val="330"/>
              </w:trPr>
              <w:tc>
                <w:tcPr>
                  <w:tcW w:w="5139" w:type="dxa"/>
                  <w:vMerge/>
                  <w:tcBorders>
                    <w:left w:val="nil"/>
                    <w:right w:val="nil"/>
                  </w:tcBorders>
                  <w:vAlign w:val="bottom"/>
                </w:tcPr>
                <w:p w:rsidR="00A7192C" w:rsidRPr="00A7192C" w:rsidRDefault="00A7192C" w:rsidP="004A6A07">
                  <w:pPr>
                    <w:spacing w:before="120" w:after="120" w:line="240" w:lineRule="auto"/>
                    <w:ind w:left="584"/>
                    <w:contextualSpacing/>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4A6A07">
                  <w:pPr>
                    <w:spacing w:before="120" w:after="120" w:line="240" w:lineRule="auto"/>
                    <w:ind w:left="584"/>
                    <w:contextualSpacing/>
                    <w:rPr>
                      <w:rFonts w:ascii="Arial" w:eastAsia="Times New Roman" w:hAnsi="Arial" w:cs="Arial"/>
                      <w:sz w:val="20"/>
                      <w:szCs w:val="20"/>
                      <w:lang w:eastAsia="sk-SK"/>
                    </w:rPr>
                  </w:pPr>
                </w:p>
              </w:tc>
            </w:tr>
            <w:tr w:rsidR="00A7192C" w:rsidRPr="00C5648D" w:rsidTr="00122DE0">
              <w:trPr>
                <w:trHeight w:val="330"/>
              </w:trPr>
              <w:tc>
                <w:tcPr>
                  <w:tcW w:w="5139" w:type="dxa"/>
                  <w:vMerge/>
                  <w:tcBorders>
                    <w:left w:val="nil"/>
                    <w:bottom w:val="nil"/>
                    <w:right w:val="nil"/>
                  </w:tcBorders>
                  <w:vAlign w:val="bottom"/>
                </w:tcPr>
                <w:p w:rsidR="00A7192C" w:rsidRPr="00A7192C" w:rsidRDefault="00A7192C" w:rsidP="004A6A07">
                  <w:pPr>
                    <w:spacing w:before="120" w:after="120" w:line="240" w:lineRule="auto"/>
                    <w:ind w:left="584"/>
                    <w:contextualSpacing/>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4A6A07">
                  <w:pPr>
                    <w:spacing w:before="120" w:after="120" w:line="240" w:lineRule="auto"/>
                    <w:ind w:left="584"/>
                    <w:contextualSpacing/>
                    <w:rPr>
                      <w:rFonts w:ascii="Arial" w:eastAsia="Times New Roman" w:hAnsi="Arial" w:cs="Arial"/>
                      <w:sz w:val="20"/>
                      <w:szCs w:val="20"/>
                      <w:lang w:eastAsia="sk-SK"/>
                    </w:rPr>
                  </w:pPr>
                </w:p>
              </w:tc>
            </w:tr>
          </w:tbl>
          <w:p w:rsidR="00CC399F" w:rsidRPr="00CC399F" w:rsidRDefault="00CC399F" w:rsidP="004A6A07">
            <w:pPr>
              <w:spacing w:before="120" w:after="120" w:line="240" w:lineRule="auto"/>
              <w:ind w:left="654"/>
              <w:contextualSpacing/>
              <w:rPr>
                <w:rFonts w:asciiTheme="minorHAnsi" w:hAnsiTheme="minorHAnsi"/>
                <w:b/>
              </w:rPr>
            </w:pPr>
          </w:p>
        </w:tc>
      </w:tr>
    </w:tbl>
    <w:p w:rsidR="00B517DF" w:rsidRPr="004A6A07" w:rsidRDefault="00D16C26"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6"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5D5FC6" w:rsidRPr="00636E1F" w:rsidRDefault="005D5FC6"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7"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A72653" w:rsidRPr="00636E1F" w:rsidRDefault="00A72653"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r w:rsidR="007A576A" w:rsidRPr="004A6A07">
        <w:rPr>
          <w:rFonts w:asciiTheme="minorHAnsi" w:hAnsiTheme="minorHAnsi"/>
          <w:sz w:val="22"/>
          <w:szCs w:val="22"/>
        </w:rPr>
        <w:t>(</w:t>
      </w:r>
      <w:hyperlink r:id="rId18" w:history="1">
        <w:r w:rsidR="00E40CCA" w:rsidRPr="004A6A07">
          <w:rPr>
            <w:rStyle w:val="Hypertextovprepojenie"/>
            <w:rFonts w:asciiTheme="minorHAnsi" w:hAnsiTheme="minorHAnsi"/>
            <w:sz w:val="22"/>
            <w:szCs w:val="22"/>
          </w:rPr>
          <w:t>http://www.optp.vlada.gov.sk/programovy-dokument/</w:t>
        </w:r>
      </w:hyperlink>
      <w:r w:rsidR="007A576A" w:rsidRPr="004A6A07">
        <w:rPr>
          <w:rFonts w:asciiTheme="minorHAnsi" w:hAnsiTheme="minorHAnsi"/>
          <w:sz w:val="22"/>
          <w:szCs w:val="22"/>
        </w:rPr>
        <w:t>)</w:t>
      </w:r>
      <w:r w:rsidR="00340864" w:rsidRPr="004A6A07">
        <w:rPr>
          <w:rFonts w:asciiTheme="minorHAnsi" w:hAnsiTheme="minorHAnsi"/>
          <w:sz w:val="22"/>
          <w:szCs w:val="22"/>
        </w:rPr>
        <w:t>;</w:t>
      </w:r>
      <w:r w:rsidRPr="00636E1F">
        <w:rPr>
          <w:rFonts w:asciiTheme="minorHAnsi" w:hAnsiTheme="minorHAnsi"/>
          <w:sz w:val="22"/>
          <w:szCs w:val="22"/>
        </w:rPr>
        <w:t xml:space="preserve">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19" w:history="1">
        <w:r w:rsidR="00E40CCA"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2C5B67" w:rsidRPr="00636E1F" w:rsidRDefault="002C5B67"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0" w:history="1">
        <w:r w:rsidR="00E40CCA"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636E1F" w:rsidRPr="004A6A07" w:rsidRDefault="007065EB" w:rsidP="004A6A07">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w:t>
      </w:r>
      <w:r w:rsidR="00496D8C" w:rsidRPr="00636E1F">
        <w:rPr>
          <w:rFonts w:asciiTheme="minorHAnsi" w:hAnsiTheme="minorHAnsi"/>
          <w:color w:val="000000"/>
          <w:sz w:val="22"/>
          <w:szCs w:val="22"/>
        </w:rPr>
        <w:t>ákony a nariadenia, na ktoré sa uvedené dokumenty odvolávajú.</w:t>
      </w:r>
    </w:p>
    <w:p w:rsidR="00E40CCA" w:rsidRPr="004A6A07" w:rsidRDefault="00E40CCA" w:rsidP="004A6A07">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rsidR="004641E9" w:rsidRDefault="004641E9" w:rsidP="004A6A07">
      <w:pPr>
        <w:pStyle w:val="Odsekzoznamu"/>
        <w:spacing w:before="120" w:after="120"/>
        <w:ind w:left="1440"/>
        <w:rPr>
          <w:rFonts w:asciiTheme="minorHAnsi" w:hAnsiTheme="minorHAnsi"/>
          <w:color w:val="000000"/>
          <w:sz w:val="22"/>
          <w:szCs w:val="22"/>
        </w:rPr>
      </w:pPr>
    </w:p>
    <w:p w:rsidR="00AE1B07" w:rsidRDefault="00AE1B07"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4A6A07">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220926">
        <w:rPr>
          <w:rFonts w:asciiTheme="minorHAnsi" w:hAnsiTheme="minorHAnsi"/>
          <w:b/>
          <w:color w:val="000000"/>
          <w:sz w:val="22"/>
          <w:szCs w:val="22"/>
        </w:rPr>
        <w:t xml:space="preserve">od </w:t>
      </w:r>
      <w:r w:rsidR="00E40CCA" w:rsidRPr="00220926">
        <w:rPr>
          <w:rFonts w:asciiTheme="minorHAnsi" w:hAnsiTheme="minorHAnsi"/>
          <w:b/>
          <w:color w:val="000000"/>
          <w:sz w:val="22"/>
          <w:szCs w:val="22"/>
        </w:rPr>
        <w:t>0</w:t>
      </w:r>
      <w:r w:rsidR="00CD6449" w:rsidRPr="00220926">
        <w:rPr>
          <w:rFonts w:asciiTheme="minorHAnsi" w:hAnsiTheme="minorHAnsi"/>
          <w:b/>
          <w:color w:val="000000"/>
          <w:sz w:val="22"/>
          <w:szCs w:val="22"/>
        </w:rPr>
        <w:t>1.</w:t>
      </w:r>
      <w:r w:rsidR="00E40CCA" w:rsidRPr="0050162E">
        <w:rPr>
          <w:rFonts w:asciiTheme="minorHAnsi" w:hAnsiTheme="minorHAnsi"/>
          <w:b/>
          <w:color w:val="000000"/>
          <w:sz w:val="22"/>
          <w:szCs w:val="22"/>
        </w:rPr>
        <w:t xml:space="preserve"> 0</w:t>
      </w:r>
      <w:r w:rsidR="00CD6449" w:rsidRPr="0050162E">
        <w:rPr>
          <w:rFonts w:asciiTheme="minorHAnsi" w:hAnsiTheme="minorHAnsi"/>
          <w:b/>
          <w:color w:val="000000"/>
          <w:sz w:val="22"/>
          <w:szCs w:val="22"/>
        </w:rPr>
        <w:t>1.</w:t>
      </w:r>
      <w:r w:rsidR="00E40CCA" w:rsidRPr="0050162E">
        <w:rPr>
          <w:rFonts w:asciiTheme="minorHAnsi" w:hAnsiTheme="minorHAnsi"/>
          <w:b/>
          <w:color w:val="000000"/>
          <w:sz w:val="22"/>
          <w:szCs w:val="22"/>
        </w:rPr>
        <w:t xml:space="preserve"> </w:t>
      </w:r>
      <w:r w:rsidR="00CD6449" w:rsidRPr="00220926">
        <w:rPr>
          <w:rFonts w:asciiTheme="minorHAnsi" w:hAnsiTheme="minorHAnsi"/>
          <w:b/>
          <w:color w:val="000000"/>
          <w:sz w:val="22"/>
          <w:szCs w:val="22"/>
        </w:rPr>
        <w:t>2014</w:t>
      </w:r>
      <w:r w:rsidR="00CD6449" w:rsidRPr="00AE1B07">
        <w:rPr>
          <w:rFonts w:asciiTheme="minorHAnsi" w:hAnsiTheme="minorHAnsi"/>
          <w:color w:val="000000"/>
          <w:sz w:val="22"/>
          <w:szCs w:val="22"/>
        </w:rPr>
        <w:t>. Dátum nadobudnutia účinnosti zmluvy o poskytnutí NFP (resp. rozhodnutia o schválení žiadosti o NFP, ak je RO</w:t>
      </w:r>
      <w:r w:rsidR="0012539E">
        <w:rPr>
          <w:rFonts w:asciiTheme="minorHAnsi" w:hAnsiTheme="minorHAnsi"/>
          <w:color w:val="000000"/>
          <w:sz w:val="22"/>
          <w:szCs w:val="22"/>
        </w:rPr>
        <w:t xml:space="preserve"> OP TP</w:t>
      </w:r>
      <w:r w:rsidR="00CD6449" w:rsidRPr="00AE1B07">
        <w:rPr>
          <w:rFonts w:asciiTheme="minorHAnsi" w:hAnsiTheme="minorHAnsi"/>
          <w:color w:val="000000"/>
          <w:sz w:val="22"/>
          <w:szCs w:val="22"/>
        </w:rPr>
        <w:t xml:space="preserve"> a</w:t>
      </w:r>
      <w:r w:rsidR="003124AE">
        <w:rPr>
          <w:rFonts w:asciiTheme="minorHAnsi" w:hAnsiTheme="minorHAnsi"/>
          <w:color w:val="000000"/>
          <w:sz w:val="22"/>
          <w:szCs w:val="22"/>
        </w:rPr>
        <w:t> žiadateľ/</w:t>
      </w:r>
      <w:r w:rsidR="00CD6449" w:rsidRPr="00AE1B07">
        <w:rPr>
          <w:rFonts w:asciiTheme="minorHAnsi" w:hAnsiTheme="minorHAnsi"/>
          <w:color w:val="000000"/>
          <w:sz w:val="22"/>
          <w:szCs w:val="22"/>
        </w:rPr>
        <w:t>prijímateľ tá istá osoba) nemá vplyv na počiatočný dátum oprávnenosti výdavkov.</w:t>
      </w:r>
    </w:p>
    <w:p w:rsidR="00E40CCA" w:rsidRPr="004A6A07" w:rsidRDefault="00E40CCA" w:rsidP="004A6A07">
      <w:pPr>
        <w:pStyle w:val="Odsekzoznamu"/>
        <w:spacing w:before="120" w:after="12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w:t>
      </w:r>
      <w:r w:rsidR="009C431A" w:rsidRPr="004A6A07">
        <w:rPr>
          <w:rFonts w:asciiTheme="minorHAnsi" w:hAnsiTheme="minorHAnsi"/>
          <w:i/>
          <w:sz w:val="22"/>
          <w:szCs w:val="22"/>
        </w:rPr>
        <w:t>4</w:t>
      </w:r>
      <w:r w:rsidRPr="004A6A07">
        <w:rPr>
          <w:rFonts w:asciiTheme="minorHAnsi" w:hAnsiTheme="minorHAnsi"/>
          <w:i/>
          <w:sz w:val="22"/>
          <w:szCs w:val="22"/>
        </w:rPr>
        <w:t>.)</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1"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4A6A0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Spôsob financovania</w:t>
      </w:r>
    </w:p>
    <w:p w:rsidR="007F31BD" w:rsidRPr="007F31BD" w:rsidRDefault="004641E9" w:rsidP="004A6A07">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r w:rsidR="007F31BD">
        <w:rPr>
          <w:rFonts w:asciiTheme="minorHAnsi" w:hAnsiTheme="minorHAnsi"/>
          <w:b/>
          <w:sz w:val="22"/>
          <w:szCs w:val="22"/>
        </w:rPr>
        <w:t>predfinancovania</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7675D2"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w:t>
      </w:r>
      <w:r w:rsidR="003827B7">
        <w:rPr>
          <w:rFonts w:asciiTheme="minorHAnsi" w:hAnsiTheme="minorHAnsi"/>
          <w:b/>
          <w:sz w:val="22"/>
          <w:szCs w:val="22"/>
        </w:rPr>
        <w:t>ých</w:t>
      </w:r>
      <w:r>
        <w:rPr>
          <w:rFonts w:asciiTheme="minorHAnsi" w:hAnsiTheme="minorHAnsi"/>
          <w:b/>
          <w:sz w:val="22"/>
          <w:szCs w:val="22"/>
        </w:rPr>
        <w:t xml:space="preserve"> plat</w:t>
      </w:r>
      <w:r w:rsidR="003827B7">
        <w:rPr>
          <w:rFonts w:asciiTheme="minorHAnsi" w:hAnsiTheme="minorHAnsi"/>
          <w:b/>
          <w:sz w:val="22"/>
          <w:szCs w:val="22"/>
        </w:rPr>
        <w:t>ie</w:t>
      </w:r>
      <w:r>
        <w:rPr>
          <w:rFonts w:asciiTheme="minorHAnsi" w:hAnsiTheme="minorHAnsi"/>
          <w:b/>
          <w:sz w:val="22"/>
          <w:szCs w:val="22"/>
        </w:rPr>
        <w:t>b a refundácie</w:t>
      </w:r>
    </w:p>
    <w:p w:rsidR="007F31BD" w:rsidRPr="004641E9" w:rsidRDefault="007F31BD" w:rsidP="004A6A07">
      <w:pPr>
        <w:pStyle w:val="Odsekzoznamu"/>
        <w:spacing w:before="120" w:after="120"/>
        <w:ind w:left="2832"/>
        <w:contextualSpacing w:val="0"/>
        <w:rPr>
          <w:rFonts w:asciiTheme="minorHAnsi" w:hAnsiTheme="minorHAnsi"/>
          <w:sz w:val="22"/>
          <w:szCs w:val="22"/>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sidR="003827B7">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Pr="004A6A07" w:rsidRDefault="006C39F2"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w:t>
      </w:r>
      <w:r w:rsidR="0080317F">
        <w:rPr>
          <w:rFonts w:asciiTheme="minorHAnsi" w:hAnsiTheme="minorHAnsi"/>
          <w:color w:val="000000"/>
          <w:sz w:val="22"/>
          <w:szCs w:val="22"/>
        </w:rPr>
        <w:br/>
      </w:r>
      <w:r w:rsidR="00E93836" w:rsidRPr="004641E9">
        <w:rPr>
          <w:rFonts w:asciiTheme="minorHAnsi" w:hAnsiTheme="minorHAnsi"/>
          <w:color w:val="000000"/>
          <w:sz w:val="22"/>
          <w:szCs w:val="22"/>
        </w:rPr>
        <w:t>a rybárskeho fondu na programové obdobie 2014 – 2020</w:t>
      </w:r>
      <w:r w:rsidR="00E93836" w:rsidRPr="004A6A07">
        <w:rPr>
          <w:rFonts w:asciiTheme="minorHAnsi" w:hAnsiTheme="minorHAnsi"/>
          <w:color w:val="000000"/>
          <w:sz w:val="22"/>
          <w:szCs w:val="22"/>
        </w:rPr>
        <w:t xml:space="preserve"> (</w:t>
      </w:r>
      <w:hyperlink r:id="rId22" w:history="1">
        <w:r w:rsidR="00E93836" w:rsidRPr="004A6A07">
          <w:rPr>
            <w:rStyle w:val="Hypertextovprepojenie"/>
            <w:rFonts w:asciiTheme="minorHAnsi" w:hAnsiTheme="minorHAnsi"/>
            <w:sz w:val="22"/>
            <w:szCs w:val="22"/>
          </w:rPr>
          <w:t>http://www.finance.gov.sk/Default.aspx?CatID=9348</w:t>
        </w:r>
      </w:hyperlink>
      <w:r w:rsidR="00E93836" w:rsidRPr="004A6A07">
        <w:rPr>
          <w:rFonts w:asciiTheme="minorHAnsi" w:hAnsiTheme="minorHAnsi"/>
          <w:color w:val="000000"/>
          <w:sz w:val="22"/>
          <w:szCs w:val="22"/>
        </w:rPr>
        <w:t>)</w:t>
      </w:r>
      <w:r w:rsidR="00992988" w:rsidRPr="004A6A07">
        <w:rPr>
          <w:rFonts w:asciiTheme="minorHAnsi" w:hAnsiTheme="minorHAnsi"/>
          <w:color w:val="000000"/>
          <w:sz w:val="22"/>
          <w:szCs w:val="22"/>
        </w:rPr>
        <w:t>.</w:t>
      </w:r>
      <w:r w:rsidR="002366FB" w:rsidRPr="004A6A07">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rsidR="004641E9" w:rsidRPr="004641E9" w:rsidRDefault="004641E9" w:rsidP="004A6A07">
      <w:pPr>
        <w:pStyle w:val="Odsekzoznamu"/>
        <w:spacing w:before="120" w:after="120"/>
        <w:contextualSpacing w:val="0"/>
        <w:jc w:val="both"/>
        <w:rPr>
          <w:rFonts w:asciiTheme="minorHAnsi" w:hAnsiTheme="minorHAnsi"/>
          <w:color w:val="000000"/>
          <w:sz w:val="22"/>
          <w:szCs w:val="22"/>
        </w:rPr>
      </w:pPr>
    </w:p>
    <w:p w:rsidR="00B534C5" w:rsidRDefault="00D6511F" w:rsidP="004A6A07">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rsidR="005F5C8C" w:rsidRPr="001A48D2" w:rsidRDefault="005F5C8C" w:rsidP="004A6A07">
      <w:pPr>
        <w:pStyle w:val="Odsekzoznamu"/>
        <w:spacing w:before="120" w:after="120"/>
        <w:contextualSpacing w:val="0"/>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plnenie podmienky čestným vyhlásením v časti č. 15 vo formulári ŽoNFP</w:t>
      </w:r>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ŽoNFP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Žiadateľ</w:t>
      </w:r>
      <w:r w:rsidR="00F875B0" w:rsidRPr="00962511">
        <w:rPr>
          <w:rFonts w:asciiTheme="minorHAnsi" w:hAnsiTheme="minorHAnsi"/>
          <w:color w:val="000000"/>
          <w:sz w:val="22"/>
          <w:szCs w:val="22"/>
        </w:rPr>
        <w:t xml:space="preserve"> 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lastRenderedPageBreak/>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021F03" w:rsidRPr="0080317F" w:rsidRDefault="00021F03" w:rsidP="004A6A07">
      <w:pPr>
        <w:pStyle w:val="Odsekzoznamu"/>
        <w:spacing w:before="120" w:after="120"/>
        <w:ind w:left="1495"/>
        <w:contextualSpacing w:val="0"/>
        <w:jc w:val="both"/>
        <w:rPr>
          <w:rFonts w:asciiTheme="minorHAnsi" w:hAnsiTheme="minorHAnsi"/>
          <w:sz w:val="22"/>
          <w:szCs w:val="22"/>
        </w:rPr>
      </w:pP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4A6A07">
      <w:pPr>
        <w:spacing w:before="120" w:after="120" w:line="240" w:lineRule="auto"/>
        <w:ind w:firstLine="357"/>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V prípade akýchkoľvek pochybností môže RO OP TP vyzvať žiadateľa na preukázanie splnenia podmienky poskytnutia príspevku, pričom v prípade nepreukázania podmienky zo strany žiadateľa rozhodne o zastavení konania o ŽoNFP.</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 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ak na základe preskúmania 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64229B" w:rsidRPr="004A6A07" w:rsidRDefault="0064229B" w:rsidP="004A6A07">
      <w:pPr>
        <w:spacing w:before="120" w:after="120" w:line="240" w:lineRule="auto"/>
        <w:ind w:firstLine="357"/>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žiadosti, na základe čoho nie je možné overiť splnenie niektorej z podmienok poskytnutia príspevku a rozhodnúť o schválení ŽoNFP ) zastaví konanie o ŽoNFP;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3"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4"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ŽoNFP. </w:t>
      </w:r>
    </w:p>
    <w:p w:rsidR="0064229B" w:rsidRPr="004A6A07" w:rsidRDefault="0064229B" w:rsidP="004A6A07">
      <w:pPr>
        <w:spacing w:before="120" w:after="120" w:line="240" w:lineRule="auto"/>
        <w:ind w:left="360"/>
        <w:jc w:val="both"/>
        <w:rPr>
          <w:rFonts w:asciiTheme="minorHAnsi" w:hAnsiTheme="minorHAnsi"/>
        </w:rPr>
      </w:pPr>
      <w:r w:rsidRPr="004A6A07">
        <w:rPr>
          <w:rFonts w:asciiTheme="minorHAnsi" w:hAnsiTheme="minorHAnsi"/>
        </w:rPr>
        <w:t>Konečným výstupom odborného hodnotenia je spoločný hodnotiaci hárok.</w:t>
      </w:r>
    </w:p>
    <w:p w:rsidR="0091595E" w:rsidRDefault="0091595E" w:rsidP="00C84BB2">
      <w:pPr>
        <w:autoSpaceDE w:val="0"/>
        <w:autoSpaceDN w:val="0"/>
        <w:adjustRightInd w:val="0"/>
        <w:ind w:firstLine="360"/>
        <w:jc w:val="both"/>
        <w:rPr>
          <w:rFonts w:asciiTheme="minorHAnsi" w:hAnsiTheme="minorHAnsi"/>
          <w:color w:val="000000"/>
        </w:rPr>
      </w:pPr>
      <w:r w:rsidRPr="0091595E">
        <w:rPr>
          <w:rFonts w:asciiTheme="minorHAnsi" w:hAnsiTheme="minorHAnsi"/>
          <w:color w:val="000000"/>
        </w:rPr>
        <w:t xml:space="preserve">RO </w:t>
      </w:r>
      <w:r>
        <w:rPr>
          <w:rFonts w:asciiTheme="minorHAnsi" w:hAnsiTheme="minorHAnsi"/>
          <w:color w:val="000000"/>
        </w:rPr>
        <w:t xml:space="preserve">OP TP </w:t>
      </w:r>
      <w:r w:rsidRPr="0091595E">
        <w:rPr>
          <w:rFonts w:asciiTheme="minorHAnsi" w:hAnsiTheme="minorHAnsi"/>
          <w:color w:val="000000"/>
        </w:rPr>
        <w:t xml:space="preserve">na základe posúdenia splnenia podmienok poskytnutia príspevku určených vo </w:t>
      </w:r>
      <w:r>
        <w:rPr>
          <w:rFonts w:asciiTheme="minorHAnsi" w:hAnsiTheme="minorHAnsi"/>
          <w:color w:val="000000"/>
        </w:rPr>
        <w:t>vyzvaní</w:t>
      </w:r>
      <w:r w:rsidRPr="0091595E">
        <w:rPr>
          <w:rFonts w:asciiTheme="minorHAnsi" w:hAnsiTheme="minorHAnsi"/>
          <w:color w:val="000000"/>
        </w:rPr>
        <w:t xml:space="preserve"> rozhodne o schválení alebo neschválení ŽoNFP </w:t>
      </w:r>
      <w:r w:rsidR="0064229B" w:rsidRPr="004A6A07">
        <w:rPr>
          <w:rFonts w:asciiTheme="minorHAnsi" w:hAnsiTheme="minorHAnsi"/>
          <w:color w:val="000000"/>
        </w:rPr>
        <w:t xml:space="preserve">Ak ŽoNFP nesplnila podmienky odborného hodnotenia, RO </w:t>
      </w:r>
      <w:r w:rsidR="00D41C95" w:rsidRPr="004A6A07">
        <w:rPr>
          <w:rFonts w:asciiTheme="minorHAnsi" w:hAnsiTheme="minorHAnsi"/>
          <w:color w:val="000000"/>
        </w:rPr>
        <w:t xml:space="preserve">OP TP </w:t>
      </w:r>
      <w:r w:rsidR="0064229B" w:rsidRPr="004A6A07">
        <w:rPr>
          <w:rFonts w:asciiTheme="minorHAnsi" w:hAnsiTheme="minorHAnsi"/>
          <w:color w:val="000000"/>
        </w:rPr>
        <w:t xml:space="preserve">rozhodne o neschválení ŽoNFP. Ak ŽoNFP splnila podmienky odborného hodnotenia, RO </w:t>
      </w:r>
      <w:r w:rsidR="00D41C95" w:rsidRPr="004A6A07">
        <w:rPr>
          <w:rFonts w:asciiTheme="minorHAnsi" w:hAnsiTheme="minorHAnsi"/>
          <w:color w:val="000000"/>
        </w:rPr>
        <w:t xml:space="preserve">OP TP </w:t>
      </w:r>
      <w:r w:rsidR="0064229B" w:rsidRPr="004A6A07">
        <w:rPr>
          <w:rFonts w:asciiTheme="minorHAnsi" w:hAnsiTheme="minorHAnsi"/>
          <w:color w:val="000000"/>
        </w:rPr>
        <w:t>rozhodne o schválení ŽoNFP</w:t>
      </w:r>
      <w:r w:rsidR="00C84BB2">
        <w:rPr>
          <w:rFonts w:asciiTheme="minorHAnsi" w:hAnsiTheme="minorHAnsi"/>
          <w:color w:val="000000"/>
        </w:rPr>
        <w:t>.</w:t>
      </w:r>
      <w:r w:rsidR="00F47EA2" w:rsidRPr="004A6A07">
        <w:rPr>
          <w:rFonts w:asciiTheme="minorHAnsi" w:hAnsiTheme="minorHAnsi"/>
          <w:color w:val="000000"/>
        </w:rPr>
        <w:t xml:space="preserve"> </w:t>
      </w:r>
    </w:p>
    <w:p w:rsidR="0091595E" w:rsidRDefault="0091595E" w:rsidP="00C84BB2">
      <w:pPr>
        <w:autoSpaceDE w:val="0"/>
        <w:autoSpaceDN w:val="0"/>
        <w:adjustRightInd w:val="0"/>
        <w:ind w:firstLine="360"/>
        <w:jc w:val="both"/>
        <w:rPr>
          <w:rFonts w:asciiTheme="minorHAnsi" w:hAnsiTheme="minorHAnsi"/>
          <w:color w:val="000000"/>
        </w:rPr>
      </w:pPr>
      <w: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C84BB2" w:rsidRDefault="00C84BB2" w:rsidP="00C84BB2">
      <w:pPr>
        <w:autoSpaceDE w:val="0"/>
        <w:autoSpaceDN w:val="0"/>
        <w:adjustRightInd w:val="0"/>
        <w:ind w:firstLine="360"/>
        <w:jc w:val="both"/>
      </w:pPr>
      <w:r>
        <w:lastRenderedPageBreak/>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r w:rsidR="0091595E" w:rsidRPr="0091595E">
        <w:t>http://www.partnerskadohoda.gov.sk/vzory-cko/</w:t>
      </w:r>
      <w:r>
        <w:t>).</w:t>
      </w:r>
    </w:p>
    <w:p w:rsidR="0064229B" w:rsidRPr="004A6A07" w:rsidRDefault="00C84BB2" w:rsidP="00C84BB2">
      <w:pPr>
        <w:autoSpaceDE w:val="0"/>
        <w:autoSpaceDN w:val="0"/>
        <w:adjustRightInd w:val="0"/>
        <w:ind w:firstLine="360"/>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Opravné prostriedky umožňujú žiadateľovi v konaní o ŽoNFP domáhať sa nápravy, ak sa domnieva, že neboli dodržané ustanovenia zákona o príspevku z EŠIF a podmienky uvedené vo vyzvaní.</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autoremedúra),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Odvolanie podáva žiadateľ písomne na podateľňu ÚV 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Odvolanie nie je prípustné voči:</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 xml:space="preserve">rozhodnutiu o neschválení ŽoNFP vydaného len z dôvodu vyčerpania finančných prostriedkov určených vo </w:t>
      </w:r>
      <w:r w:rsidRPr="00962511">
        <w:rPr>
          <w:rFonts w:asciiTheme="minorHAnsi" w:hAnsiTheme="minorHAnsi"/>
          <w:sz w:val="22"/>
          <w:szCs w:val="22"/>
        </w:rPr>
        <w:t>vyzvaní,</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 prípade 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lastRenderedPageBreak/>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962511" w:rsidRDefault="008A3A69" w:rsidP="004A6A07">
      <w:pPr>
        <w:pStyle w:val="Odsekzoznamu"/>
        <w:numPr>
          <w:ilvl w:val="0"/>
          <w:numId w:val="19"/>
        </w:numPr>
        <w:spacing w:before="120" w:after="120"/>
        <w:ind w:left="1260" w:right="-18"/>
        <w:jc w:val="both"/>
        <w:rPr>
          <w:rFonts w:asciiTheme="minorHAnsi" w:hAnsiTheme="minorHAnsi"/>
          <w:sz w:val="22"/>
          <w:szCs w:val="22"/>
        </w:rPr>
      </w:pPr>
      <w:r w:rsidRPr="00C3609C">
        <w:rPr>
          <w:rFonts w:asciiTheme="minorHAnsi" w:hAnsiTheme="minorHAnsi"/>
          <w:b/>
          <w:sz w:val="22"/>
          <w:szCs w:val="22"/>
        </w:rPr>
        <w:t>Napadnuté rozhodnutie zmení</w:t>
      </w:r>
      <w:r w:rsidRPr="00C3609C">
        <w:rPr>
          <w:rFonts w:asciiTheme="minorHAnsi" w:hAnsiTheme="minorHAnsi"/>
          <w:sz w:val="22"/>
          <w:szCs w:val="22"/>
        </w:rPr>
        <w:t xml:space="preserve"> – </w:t>
      </w:r>
      <w:r w:rsidRPr="00C3609C">
        <w:rPr>
          <w:rFonts w:asciiTheme="minorHAnsi" w:hAnsiTheme="minorHAnsi"/>
          <w:sz w:val="22"/>
          <w:szCs w:val="22"/>
          <w:u w:val="single"/>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nia preukázalo, že pôvodné rozhodnutie bolo vydané v rozpore s podmienkami poskytnutia príspevku,</w:t>
      </w:r>
    </w:p>
    <w:p w:rsidR="008A3A69" w:rsidRPr="00962511" w:rsidRDefault="008A3A69" w:rsidP="004A6A07">
      <w:pPr>
        <w:pStyle w:val="Odsekzoznamu"/>
        <w:numPr>
          <w:ilvl w:val="0"/>
          <w:numId w:val="19"/>
        </w:numPr>
        <w:spacing w:before="120" w:after="120"/>
        <w:ind w:left="1260" w:right="-18"/>
        <w:jc w:val="both"/>
        <w:rPr>
          <w:rFonts w:asciiTheme="minorHAnsi" w:hAnsiTheme="minorHAnsi"/>
          <w:sz w:val="22"/>
          <w:szCs w:val="22"/>
        </w:rPr>
      </w:pPr>
      <w:r w:rsidRPr="00962511">
        <w:rPr>
          <w:rFonts w:asciiTheme="minorHAnsi" w:hAnsiTheme="minorHAnsi"/>
          <w:b/>
          <w:sz w:val="22"/>
          <w:szCs w:val="22"/>
        </w:rPr>
        <w:t>Napadnuté rozhodnutie potvrdí</w:t>
      </w:r>
      <w:r w:rsidRPr="00962511">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ŠO preskúmaním rozhodnutia mimo odvolacieho konania zistí, že rozhodnutie bolo vydané v rozpore so zákonom o príspevku z EŠIF, </w:t>
      </w:r>
      <w:r w:rsidRPr="00C3609C">
        <w:rPr>
          <w:rFonts w:asciiTheme="minorHAnsi" w:hAnsiTheme="minorHAnsi"/>
          <w:sz w:val="22"/>
          <w:szCs w:val="22"/>
        </w:rPr>
        <w:lastRenderedPageBreak/>
        <w:t>rozhodnutie zmení. Preskúmavané rozhodnutie zmení vydaním no</w:t>
      </w:r>
      <w:r w:rsidRPr="00962511">
        <w:rPr>
          <w:rFonts w:asciiTheme="minorHAnsi" w:hAnsiTheme="minorHAnsi"/>
          <w:sz w:val="22"/>
          <w:szCs w:val="22"/>
        </w:rPr>
        <w:t>vého rozhodnutia, na ktorého náležitosti sa primerane aplikujú ustanovenia o náležitostiach rozhodnutia o schválení/neschválení ŽoNFP.</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Preskúmavané konanie zastaví</w:t>
      </w:r>
      <w:r w:rsidRPr="00962511">
        <w:rPr>
          <w:rFonts w:asciiTheme="minorHAnsi" w:hAnsiTheme="minorHAnsi"/>
          <w:sz w:val="22"/>
          <w:szCs w:val="22"/>
        </w:rPr>
        <w:t xml:space="preserve"> - ak ŠO preskúmaním rozhodnutia mimo odvolacieho konania zistí, že rozhodnutie nebolo vydané v rozpore so zákonom o príspevku z EŠIF, </w:t>
      </w:r>
      <w:r w:rsidR="00585402" w:rsidRPr="00962511">
        <w:rPr>
          <w:rFonts w:asciiTheme="minorHAnsi" w:hAnsiTheme="minorHAnsi"/>
          <w:sz w:val="22"/>
          <w:szCs w:val="22"/>
        </w:rPr>
        <w:t xml:space="preserve">vedúci Úradu vlády SR </w:t>
      </w:r>
      <w:r w:rsidRPr="00962511">
        <w:rPr>
          <w:rFonts w:asciiTheme="minorHAnsi" w:hAnsiTheme="minorHAnsi"/>
          <w:sz w:val="22"/>
          <w:szCs w:val="22"/>
        </w:rPr>
        <w:t>preskúmavané konanie zastaví rozhodnutím.</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4A6A07">
      <w:pPr>
        <w:spacing w:before="120" w:after="120" w:line="240" w:lineRule="auto"/>
        <w:ind w:firstLine="360"/>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xml:space="preserve">, pričom v prípade, ak k niektorej aktivite sú priradené </w:t>
      </w:r>
      <w:r w:rsidRPr="004A6A07">
        <w:rPr>
          <w:rFonts w:asciiTheme="minorHAnsi" w:hAnsiTheme="minorHAnsi"/>
        </w:rPr>
        <w:lastRenderedPageBreak/>
        <w:t>merateľné ukazovatele, ktoré pre realizáciu konkrétneho projektu nebudú relevantné, žiadateľ v rámci plánovanej hodnoty uvedie hodnotu ,,0“.</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4A6A07">
      <w:pPr>
        <w:spacing w:before="120" w:after="120" w:line="240" w:lineRule="auto"/>
        <w:ind w:firstLine="360"/>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RMŽaND“)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4A6A07">
      <w:pPr>
        <w:spacing w:before="120" w:after="120" w:line="240" w:lineRule="auto"/>
        <w:ind w:firstLine="360"/>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4A6A07">
      <w:pPr>
        <w:spacing w:before="120" w:after="120" w:line="240" w:lineRule="auto"/>
        <w:ind w:firstLine="360"/>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Pr="004A6A07" w:rsidRDefault="00A64129" w:rsidP="004A6A07">
      <w:pPr>
        <w:spacing w:before="120" w:after="120" w:line="240" w:lineRule="auto"/>
        <w:ind w:firstLine="360"/>
        <w:jc w:val="both"/>
        <w:rPr>
          <w:rFonts w:asciiTheme="minorHAnsi" w:hAnsiTheme="minorHAnsi"/>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poskytnutí NFP</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 xml:space="preserve">o poskytnutí 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poskytnutí NFP.</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písomný návrh na uzavretie zmluvy o poskytnutí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FD4C06"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ak je prijímateľ a RO OP TP tá istá osoba, </w:t>
      </w:r>
      <w:r w:rsidR="00115FD9" w:rsidRPr="004A6A07">
        <w:rPr>
          <w:rFonts w:asciiTheme="minorHAnsi" w:hAnsiTheme="minorHAnsi"/>
        </w:rPr>
        <w:t>z</w:t>
      </w:r>
      <w:r w:rsidRPr="004A6A07">
        <w:rPr>
          <w:rFonts w:asciiTheme="minorHAnsi" w:hAnsiTheme="minorHAnsi"/>
        </w:rPr>
        <w:t xml:space="preserve">mluva o poskytnutí NFP sa neuzatvára a práva a povinnosti sú upravené rozhodnutím o schválení ŽoNFP. Rozhodnutie o schválení ŽoNFP nadobúda účinnosť v momente, keď nadobudne právoplatnosť podľa paragrafu 52 odsek 1 zákona </w:t>
      </w:r>
      <w:r w:rsidRPr="004A6A07">
        <w:rPr>
          <w:rFonts w:asciiTheme="minorHAnsi" w:hAnsiTheme="minorHAnsi"/>
        </w:rPr>
        <w:br/>
        <w:t>č. 71/1967 Zb. o správnom konaní (Správny poriadok) v znení neskorších predpisov.</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 Zmluva o poskytnutí 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Vzor zmluvy o poskytnutí NFP ako aj Rozhodnutia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 poskytnutí NFP/ Rozhodnutia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zverejnené vzory novou verziou. Predchádzajúce verzie sú dostupné   v archíve   s jasným   označením   čísla   verzie   a vymedzeným   obdobím   platnosti.</w:t>
      </w:r>
    </w:p>
    <w:p w:rsidR="00120AD4" w:rsidRPr="004A6A07" w:rsidRDefault="00120AD4" w:rsidP="004A6A07">
      <w:pPr>
        <w:autoSpaceDE w:val="0"/>
        <w:autoSpaceDN w:val="0"/>
        <w:adjustRightInd w:val="0"/>
        <w:spacing w:before="120" w:after="120" w:line="240" w:lineRule="auto"/>
        <w:ind w:firstLine="360"/>
        <w:jc w:val="both"/>
        <w:rPr>
          <w:rFonts w:asciiTheme="minorHAnsi" w:eastAsiaTheme="minorHAnsi" w:hAnsiTheme="minorHAnsi"/>
        </w:rPr>
      </w:pPr>
      <w:r w:rsidRPr="004A6A07">
        <w:rPr>
          <w:rFonts w:asciiTheme="minorHAnsi" w:eastAsiaTheme="minorHAnsi" w:hAnsiTheme="minorHAnsi"/>
        </w:rPr>
        <w:lastRenderedPageBreak/>
        <w:t>RO OP TP zašle žiadateľovi návrh na uzavretie zmluvy o poskytnutí NFP bezodkladne po podpise štatutárnym orgánom. V zmysle zákona č. 305/2013 o elektronickej podobe výkonu pôsobnosti orgánov verejnej moci a o zmene a doplnení niektorých zákonov (zákon o e-Governmente) je</w:t>
      </w:r>
      <w:r w:rsidRPr="004A6A07">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 xml:space="preserve">o poskytnutí 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p>
    <w:p w:rsidR="00E66306" w:rsidRPr="004A6A07" w:rsidRDefault="00120AD4" w:rsidP="004A6A07">
      <w:pPr>
        <w:spacing w:before="120" w:after="120" w:line="240" w:lineRule="auto"/>
        <w:ind w:firstLine="360"/>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 poskytnutí NFP</w:t>
      </w:r>
      <w:r w:rsidR="00C41B7F" w:rsidRPr="00962511">
        <w:rPr>
          <w:rFonts w:asciiTheme="minorHAnsi" w:eastAsiaTheme="minorHAnsi" w:hAnsiTheme="minorHAnsi"/>
        </w:rPr>
        <w:t xml:space="preserve"> </w:t>
      </w:r>
      <w:r w:rsidRPr="004A6A07">
        <w:rPr>
          <w:rFonts w:asciiTheme="minorHAnsi" w:eastAsiaTheme="minorHAnsi" w:hAnsiTheme="minorHAnsi"/>
        </w:rPr>
        <w:t>v tlačenej forme. V tomto prípade RO OP TP zašle žiadateľovi návrh na uzavretie zmluvy o poskytnutí NFP v minimálne šiestich rovnopisoch doporučenou poštou, alebo iným vhodným spôsobom bezodkladne po podpise štatutárnym orgánom.</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OP TP poskytne žiadateľovi lehotu na prijatie návrhu na uzavretie zmluvy o poskytnutí NFP (minimálne  5 pracovných dní). </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4A6A07" w:rsidRDefault="009F6392" w:rsidP="004A6A07">
      <w:pPr>
        <w:spacing w:before="120" w:after="120" w:line="240" w:lineRule="auto"/>
        <w:ind w:firstLine="360"/>
        <w:jc w:val="both"/>
        <w:rPr>
          <w:rFonts w:asciiTheme="minorHAnsi" w:hAnsiTheme="minorHAnsi"/>
        </w:rPr>
      </w:pPr>
      <w:r>
        <w:rPr>
          <w:rFonts w:asciiTheme="minorHAnsi" w:eastAsiaTheme="minorHAnsi" w:hAnsiTheme="minorHAnsi"/>
        </w:rPr>
        <w:t xml:space="preserve">V prípade podpísania zmluvy o poskytnutí NFP v tlačenej podobe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2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r w:rsidR="00E66306" w:rsidRPr="004A6A07">
        <w:rPr>
          <w:rFonts w:asciiTheme="minorHAnsi" w:hAnsiTheme="minorHAnsi"/>
        </w:rPr>
        <w:t>Deň doručenia prijatého návrhu na uzavretie zmluvy o poskytnutí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poskytnutí NFP</w:t>
      </w:r>
      <w:r w:rsidR="00E66306" w:rsidRPr="004A6A07">
        <w:rPr>
          <w:rFonts w:asciiTheme="minorHAnsi" w:hAnsiTheme="minorHAnsi"/>
        </w:rPr>
        <w:t>.</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FD4C06" w:rsidRPr="004A6A07">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Zároveň sú od tohto dňa obe zmluvné strany viazané ustanoveniami zmluvy o poskytnutí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lastRenderedPageBreak/>
        <w:t>zoznam odborných hodnotiteľov, v rozsahu titul, meno, priezvisko.</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4A6A07">
      <w:pPr>
        <w:spacing w:before="120" w:after="120" w:line="240" w:lineRule="auto"/>
        <w:ind w:firstLine="360"/>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VaI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453BCB" w:rsidRPr="00AA2BAA" w:rsidRDefault="0064229B" w:rsidP="00744693">
      <w:pPr>
        <w:spacing w:before="120" w:after="120" w:line="240" w:lineRule="auto"/>
        <w:ind w:firstLine="357"/>
        <w:jc w:val="both"/>
      </w:pPr>
      <w:r w:rsidRPr="004A6A07">
        <w:rPr>
          <w:rFonts w:asciiTheme="minorHAnsi" w:eastAsia="Times New Roman" w:hAnsiTheme="minorHAnsi"/>
        </w:rPr>
        <w:t>Bližšie informácie k synergickým a komplementárnym účinkom je možné získať na webovom sídle centrálneho koordinačného orgánu</w:t>
      </w:r>
      <w:r w:rsidRPr="004A6A07">
        <w:rPr>
          <w:rFonts w:asciiTheme="minorHAnsi" w:hAnsiTheme="minorHAnsi"/>
        </w:rPr>
        <w:t xml:space="preserve"> </w:t>
      </w:r>
      <w:hyperlink r:id="rId27"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8" w:history="1">
        <w:r w:rsidRPr="004A6A07">
          <w:rPr>
            <w:rStyle w:val="Hypertextovprepojenie"/>
            <w:rFonts w:asciiTheme="minorHAnsi" w:hAnsiTheme="minorHAnsi"/>
          </w:rPr>
          <w:t>http://www.ecas.org/</w:t>
        </w:r>
      </w:hyperlink>
      <w:r w:rsidR="003C2776" w:rsidRPr="004A6A07">
        <w:rPr>
          <w:rFonts w:asciiTheme="minorHAnsi" w:hAnsiTheme="minorHAnsi"/>
        </w:rPr>
        <w:t>.</w:t>
      </w:r>
      <w:bookmarkStart w:id="0" w:name="_GoBack"/>
      <w:bookmarkEnd w:id="0"/>
    </w:p>
    <w:p w:rsidR="00962511" w:rsidRDefault="00962511">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4A6A07">
      <w:pPr>
        <w:spacing w:before="120" w:after="120" w:line="240" w:lineRule="auto"/>
        <w:ind w:firstLine="425"/>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AF0D8F" w:rsidRPr="00AF0D8F">
        <w:rPr>
          <w:rFonts w:asciiTheme="minorHAnsi" w:hAnsiTheme="minorHAnsi"/>
          <w:bCs/>
          <w:iCs/>
          <w:sz w:val="22"/>
          <w:szCs w:val="22"/>
        </w:rPr>
        <w:t xml:space="preserve"> </w:t>
      </w:r>
      <w:r w:rsidR="00AF0D8F" w:rsidRPr="009A25FF">
        <w:rPr>
          <w:rFonts w:asciiTheme="minorHAnsi" w:hAnsiTheme="minorHAnsi"/>
          <w:bCs/>
          <w:iCs/>
          <w:sz w:val="22"/>
          <w:szCs w:val="22"/>
        </w:rPr>
        <w:t>-</w:t>
      </w:r>
      <w:r w:rsidR="00AF0D8F" w:rsidRPr="009A25FF">
        <w:rPr>
          <w:rFonts w:asciiTheme="minorHAnsi" w:hAnsiTheme="minorHAnsi"/>
          <w:b/>
          <w:sz w:val="22"/>
          <w:szCs w:val="22"/>
        </w:rPr>
        <w:t xml:space="preserve"> aktualizovaná</w:t>
      </w:r>
      <w:r w:rsidR="0040201B">
        <w:rPr>
          <w:rFonts w:asciiTheme="minorHAnsi" w:hAnsiTheme="minorHAnsi"/>
          <w:b/>
          <w:sz w:val="22"/>
          <w:szCs w:val="22"/>
        </w:rPr>
        <w:t xml:space="preserve"> </w:t>
      </w:r>
      <w:r w:rsidR="0040201B" w:rsidRPr="0017751C">
        <w:rPr>
          <w:rFonts w:asciiTheme="minorHAnsi" w:hAnsiTheme="minorHAnsi" w:cstheme="minorHAnsi"/>
          <w:bCs/>
          <w:iCs/>
          <w:sz w:val="22"/>
          <w:szCs w:val="22"/>
        </w:rPr>
        <w:t>(</w:t>
      </w:r>
      <w:r w:rsidR="0040201B">
        <w:rPr>
          <w:rFonts w:asciiTheme="minorHAnsi" w:hAnsiTheme="minorHAnsi" w:cstheme="minorHAnsi"/>
          <w:sz w:val="22"/>
          <w:szCs w:val="22"/>
        </w:rPr>
        <w:t>v</w:t>
      </w:r>
      <w:r w:rsidR="0040201B" w:rsidRPr="0017751C">
        <w:rPr>
          <w:rFonts w:asciiTheme="minorHAnsi" w:hAnsiTheme="minorHAnsi" w:cstheme="minorHAnsi"/>
          <w:sz w:val="22"/>
          <w:szCs w:val="22"/>
        </w:rPr>
        <w:t> súčasnosti sú platné prílohy č.</w:t>
      </w:r>
      <w:r w:rsidR="0040201B">
        <w:rPr>
          <w:rFonts w:asciiTheme="minorHAnsi" w:hAnsiTheme="minorHAnsi" w:cstheme="minorHAnsi"/>
          <w:sz w:val="22"/>
          <w:szCs w:val="22"/>
        </w:rPr>
        <w:t xml:space="preserve"> </w:t>
      </w:r>
      <w:r w:rsidR="0040201B" w:rsidRPr="0017751C">
        <w:rPr>
          <w:rFonts w:asciiTheme="minorHAnsi" w:hAnsiTheme="minorHAnsi" w:cstheme="minorHAnsi"/>
          <w:sz w:val="22"/>
          <w:szCs w:val="22"/>
        </w:rPr>
        <w:t>1</w:t>
      </w:r>
      <w:r w:rsidR="0040201B">
        <w:rPr>
          <w:rFonts w:asciiTheme="minorHAnsi" w:hAnsiTheme="minorHAnsi" w:cstheme="minorHAnsi"/>
          <w:sz w:val="22"/>
          <w:szCs w:val="22"/>
        </w:rPr>
        <w:t>a, 1b; p</w:t>
      </w:r>
      <w:r w:rsidR="0040201B" w:rsidRPr="0017751C">
        <w:rPr>
          <w:rFonts w:asciiTheme="minorHAnsi" w:hAnsiTheme="minorHAnsi" w:cstheme="minorHAnsi"/>
          <w:sz w:val="22"/>
          <w:szCs w:val="22"/>
        </w:rPr>
        <w:t>o ukončení aktualizácie formuláru žiadosti o NFP v ITMS2014+ budú v platnosti prílohy č. 1c, 1d);</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536C2D"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4A6A07">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5B4878" w:rsidRPr="005B4878">
        <w:rPr>
          <w:rFonts w:asciiTheme="minorHAnsi" w:hAnsiTheme="minorHAnsi"/>
          <w:bCs/>
          <w:iCs/>
          <w:sz w:val="22"/>
          <w:szCs w:val="22"/>
        </w:rPr>
        <w:t xml:space="preserve"> </w:t>
      </w:r>
      <w:r w:rsidR="005B4878" w:rsidRPr="009A25FF">
        <w:rPr>
          <w:rFonts w:asciiTheme="minorHAnsi" w:hAnsiTheme="minorHAnsi"/>
          <w:bCs/>
          <w:iCs/>
          <w:sz w:val="22"/>
          <w:szCs w:val="22"/>
        </w:rPr>
        <w:t>-</w:t>
      </w:r>
      <w:r w:rsidR="005B4878" w:rsidRPr="009A25FF">
        <w:rPr>
          <w:rFonts w:asciiTheme="minorHAnsi" w:hAnsiTheme="minorHAnsi"/>
          <w:b/>
          <w:sz w:val="22"/>
          <w:szCs w:val="22"/>
        </w:rPr>
        <w:t xml:space="preserve"> aktualizovaná</w:t>
      </w:r>
      <w:r w:rsidR="005B4878" w:rsidRPr="00C3609C" w:rsidDel="00536C2D">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992211" w:rsidRPr="009A25FF">
        <w:rPr>
          <w:rFonts w:asciiTheme="minorHAnsi" w:hAnsiTheme="minorHAnsi"/>
          <w:bCs/>
          <w:iCs/>
          <w:sz w:val="22"/>
          <w:szCs w:val="22"/>
        </w:rPr>
        <w:t xml:space="preserve"> -</w:t>
      </w:r>
      <w:r w:rsidR="00992211" w:rsidRPr="009A25FF">
        <w:rPr>
          <w:rFonts w:asciiTheme="minorHAnsi" w:hAnsiTheme="minorHAnsi"/>
          <w:b/>
          <w:sz w:val="22"/>
          <w:szCs w:val="22"/>
        </w:rPr>
        <w:t xml:space="preserve"> aktualizovaná</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p>
    <w:sectPr w:rsidR="00BC5244" w:rsidRPr="00962511" w:rsidSect="00914DBE">
      <w:headerReference w:type="even" r:id="rId29"/>
      <w:headerReference w:type="default" r:id="rId30"/>
      <w:footerReference w:type="even" r:id="rId31"/>
      <w:footerReference w:type="default" r:id="rId32"/>
      <w:headerReference w:type="first" r:id="rId33"/>
      <w:footerReference w:type="first" r:id="rId3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01B" w:rsidRDefault="0040201B" w:rsidP="00784ECE">
      <w:pPr>
        <w:spacing w:after="0" w:line="240" w:lineRule="auto"/>
      </w:pPr>
      <w:r>
        <w:separator/>
      </w:r>
    </w:p>
  </w:endnote>
  <w:endnote w:type="continuationSeparator" w:id="0">
    <w:p w:rsidR="0040201B" w:rsidRDefault="0040201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40201B" w:rsidRDefault="0040201B">
        <w:pPr>
          <w:pStyle w:val="Pta"/>
          <w:jc w:val="center"/>
        </w:pPr>
        <w:r>
          <w:fldChar w:fldCharType="begin"/>
        </w:r>
        <w:r>
          <w:instrText>PAGE   \* MERGEFORMAT</w:instrText>
        </w:r>
        <w:r>
          <w:fldChar w:fldCharType="separate"/>
        </w:r>
        <w:r w:rsidR="00744693">
          <w:rPr>
            <w:noProof/>
          </w:rPr>
          <w:t>24</w:t>
        </w:r>
        <w:r>
          <w:fldChar w:fldCharType="end"/>
        </w:r>
      </w:p>
    </w:sdtContent>
  </w:sdt>
  <w:p w:rsidR="0040201B" w:rsidRDefault="0040201B">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0CAD088"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40201B" w:rsidRDefault="0040201B"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40201B" w:rsidRDefault="0040201B" w:rsidP="00F4420F">
    <w:pPr>
      <w:pStyle w:val="Pta"/>
    </w:pPr>
  </w:p>
  <w:p w:rsidR="0040201B" w:rsidRDefault="0040201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01B" w:rsidRDefault="0040201B" w:rsidP="00784ECE">
      <w:pPr>
        <w:spacing w:after="0" w:line="240" w:lineRule="auto"/>
      </w:pPr>
      <w:r>
        <w:separator/>
      </w:r>
    </w:p>
  </w:footnote>
  <w:footnote w:type="continuationSeparator" w:id="0">
    <w:p w:rsidR="0040201B" w:rsidRDefault="0040201B" w:rsidP="00784ECE">
      <w:pPr>
        <w:spacing w:after="0" w:line="240" w:lineRule="auto"/>
      </w:pPr>
      <w:r>
        <w:continuationSeparator/>
      </w:r>
    </w:p>
  </w:footnote>
  <w:footnote w:id="1">
    <w:p w:rsidR="0040201B" w:rsidRDefault="0040201B"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40201B" w:rsidRDefault="0040201B"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40201B" w:rsidRDefault="0040201B"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98A6CB7" wp14:editId="4E7996ED">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40201B" w:rsidRDefault="0040201B">
    <w:pPr>
      <w:pStyle w:val="Hlavika"/>
      <w:rPr>
        <w:rFonts w:asciiTheme="minorHAnsi" w:hAnsiTheme="minorHAnsi"/>
        <w:sz w:val="22"/>
        <w:szCs w:val="22"/>
      </w:rPr>
    </w:pPr>
  </w:p>
  <w:p w:rsidR="0040201B" w:rsidRPr="00005728" w:rsidRDefault="0040201B">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r w:rsidRPr="00DB3A8D">
      <w:rPr>
        <w:rFonts w:asciiTheme="minorHAnsi" w:hAnsiTheme="minorHAnsi"/>
      </w:rPr>
      <w:t xml:space="preserve">4 z </w:t>
    </w:r>
    <w:r w:rsidR="001A35D1">
      <w:rPr>
        <w:rFonts w:asciiTheme="minorHAnsi" w:hAnsiTheme="minorHAnsi"/>
      </w:rPr>
      <w:t>9</w:t>
    </w:r>
    <w:r w:rsidRPr="00DB3A8D">
      <w:rPr>
        <w:rFonts w:asciiTheme="minorHAnsi" w:hAnsiTheme="minorHAnsi"/>
      </w:rPr>
      <w:t>. 1</w:t>
    </w:r>
    <w:r w:rsidRPr="004A6A07">
      <w:rPr>
        <w:rFonts w:asciiTheme="minorHAnsi" w:hAnsiTheme="minorHAnsi"/>
      </w:rPr>
      <w:t>1</w:t>
    </w:r>
    <w:r w:rsidRPr="00DB3A8D">
      <w:rPr>
        <w:rFonts w:asciiTheme="minorHAnsi" w:hAnsiTheme="minorHAnsi"/>
      </w:rPr>
      <w:t>. 201</w:t>
    </w:r>
    <w:r w:rsidRPr="004A6A07">
      <w:rPr>
        <w:rFonts w:asciiTheme="minorHAnsi" w:hAnsiTheme="minorHAnsi"/>
      </w:rPr>
      <w:t>8</w:t>
    </w:r>
    <w:r>
      <w:rPr>
        <w:rFonts w:asciiTheme="minorHAnsi" w:hAnsiTheme="minorHAnsi"/>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68309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2"/>
  </w:num>
  <w:num w:numId="8">
    <w:abstractNumId w:val="34"/>
  </w:num>
  <w:num w:numId="9">
    <w:abstractNumId w:val="24"/>
  </w:num>
  <w:num w:numId="10">
    <w:abstractNumId w:val="21"/>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6"/>
  </w:num>
  <w:num w:numId="18">
    <w:abstractNumId w:val="32"/>
  </w:num>
  <w:num w:numId="19">
    <w:abstractNumId w:val="9"/>
  </w:num>
  <w:num w:numId="20">
    <w:abstractNumId w:val="28"/>
  </w:num>
  <w:num w:numId="21">
    <w:abstractNumId w:val="10"/>
  </w:num>
  <w:num w:numId="22">
    <w:abstractNumId w:val="16"/>
  </w:num>
  <w:num w:numId="23">
    <w:abstractNumId w:val="23"/>
  </w:num>
  <w:num w:numId="24">
    <w:abstractNumId w:val="8"/>
  </w:num>
  <w:num w:numId="25">
    <w:abstractNumId w:val="15"/>
  </w:num>
  <w:num w:numId="26">
    <w:abstractNumId w:val="2"/>
  </w:num>
  <w:num w:numId="27">
    <w:abstractNumId w:val="33"/>
  </w:num>
  <w:num w:numId="28">
    <w:abstractNumId w:val="1"/>
  </w:num>
  <w:num w:numId="29">
    <w:abstractNumId w:val="18"/>
  </w:num>
  <w:num w:numId="30">
    <w:abstractNumId w:val="36"/>
  </w:num>
  <w:num w:numId="31">
    <w:abstractNumId w:val="7"/>
  </w:num>
  <w:num w:numId="32">
    <w:abstractNumId w:val="30"/>
  </w:num>
  <w:num w:numId="33">
    <w:abstractNumId w:val="29"/>
  </w:num>
  <w:num w:numId="34">
    <w:abstractNumId w:val="13"/>
  </w:num>
  <w:num w:numId="35">
    <w:abstractNumId w:val="20"/>
  </w:num>
  <w:num w:numId="36">
    <w:abstractNumId w:val="30"/>
  </w:num>
  <w:num w:numId="37">
    <w:abstractNumId w:val="3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752F"/>
    <w:rsid w:val="00021F03"/>
    <w:rsid w:val="00025BF0"/>
    <w:rsid w:val="00033564"/>
    <w:rsid w:val="00033F3D"/>
    <w:rsid w:val="00040767"/>
    <w:rsid w:val="0004353A"/>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747D"/>
    <w:rsid w:val="001001C9"/>
    <w:rsid w:val="0010099B"/>
    <w:rsid w:val="00110F51"/>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14C0"/>
    <w:rsid w:val="001D23DF"/>
    <w:rsid w:val="001E486C"/>
    <w:rsid w:val="001F122D"/>
    <w:rsid w:val="001F7C53"/>
    <w:rsid w:val="002058E2"/>
    <w:rsid w:val="00207059"/>
    <w:rsid w:val="002106BF"/>
    <w:rsid w:val="00217207"/>
    <w:rsid w:val="00217F55"/>
    <w:rsid w:val="00220926"/>
    <w:rsid w:val="00220D59"/>
    <w:rsid w:val="00222202"/>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400C"/>
    <w:rsid w:val="002E276F"/>
    <w:rsid w:val="002E414F"/>
    <w:rsid w:val="002E5A79"/>
    <w:rsid w:val="002E5BFD"/>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BD8"/>
    <w:rsid w:val="00374C1F"/>
    <w:rsid w:val="003827B7"/>
    <w:rsid w:val="00391763"/>
    <w:rsid w:val="003930B3"/>
    <w:rsid w:val="003939AC"/>
    <w:rsid w:val="003A23D2"/>
    <w:rsid w:val="003A2623"/>
    <w:rsid w:val="003A2C31"/>
    <w:rsid w:val="003B0CE6"/>
    <w:rsid w:val="003B1948"/>
    <w:rsid w:val="003B475A"/>
    <w:rsid w:val="003C1D64"/>
    <w:rsid w:val="003C2776"/>
    <w:rsid w:val="003C3A87"/>
    <w:rsid w:val="003D4F02"/>
    <w:rsid w:val="003E01BF"/>
    <w:rsid w:val="003E149B"/>
    <w:rsid w:val="003F0073"/>
    <w:rsid w:val="003F114F"/>
    <w:rsid w:val="004000A2"/>
    <w:rsid w:val="0040201B"/>
    <w:rsid w:val="00411E54"/>
    <w:rsid w:val="00412144"/>
    <w:rsid w:val="00412BEC"/>
    <w:rsid w:val="00414952"/>
    <w:rsid w:val="00426411"/>
    <w:rsid w:val="0042672B"/>
    <w:rsid w:val="00432099"/>
    <w:rsid w:val="00435834"/>
    <w:rsid w:val="00436323"/>
    <w:rsid w:val="004365DF"/>
    <w:rsid w:val="00441F1D"/>
    <w:rsid w:val="00453BCB"/>
    <w:rsid w:val="00457539"/>
    <w:rsid w:val="00457927"/>
    <w:rsid w:val="00457E6C"/>
    <w:rsid w:val="00461274"/>
    <w:rsid w:val="004641E9"/>
    <w:rsid w:val="00486E74"/>
    <w:rsid w:val="00492D5E"/>
    <w:rsid w:val="0049360B"/>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5B34"/>
    <w:rsid w:val="00556BC9"/>
    <w:rsid w:val="00571D60"/>
    <w:rsid w:val="00575926"/>
    <w:rsid w:val="005768F5"/>
    <w:rsid w:val="0058004C"/>
    <w:rsid w:val="00580E28"/>
    <w:rsid w:val="00585402"/>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6E1F"/>
    <w:rsid w:val="0063738D"/>
    <w:rsid w:val="0064229B"/>
    <w:rsid w:val="00661567"/>
    <w:rsid w:val="0066172B"/>
    <w:rsid w:val="00662358"/>
    <w:rsid w:val="00675178"/>
    <w:rsid w:val="00681686"/>
    <w:rsid w:val="0069226A"/>
    <w:rsid w:val="006937F7"/>
    <w:rsid w:val="00694F7B"/>
    <w:rsid w:val="00695289"/>
    <w:rsid w:val="006A6E11"/>
    <w:rsid w:val="006B596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5A50"/>
    <w:rsid w:val="007173D1"/>
    <w:rsid w:val="00722CD0"/>
    <w:rsid w:val="0072344A"/>
    <w:rsid w:val="00723D99"/>
    <w:rsid w:val="00724EDC"/>
    <w:rsid w:val="0073464D"/>
    <w:rsid w:val="00734FEC"/>
    <w:rsid w:val="007400B9"/>
    <w:rsid w:val="00744693"/>
    <w:rsid w:val="00752228"/>
    <w:rsid w:val="00767360"/>
    <w:rsid w:val="007675D2"/>
    <w:rsid w:val="00772BED"/>
    <w:rsid w:val="007741A5"/>
    <w:rsid w:val="00774B1B"/>
    <w:rsid w:val="00775A18"/>
    <w:rsid w:val="00776515"/>
    <w:rsid w:val="00784ECE"/>
    <w:rsid w:val="0079472C"/>
    <w:rsid w:val="007A30FE"/>
    <w:rsid w:val="007A576A"/>
    <w:rsid w:val="007A617E"/>
    <w:rsid w:val="007B0FCE"/>
    <w:rsid w:val="007B3C24"/>
    <w:rsid w:val="007C40AA"/>
    <w:rsid w:val="007C4DA2"/>
    <w:rsid w:val="007E7CA9"/>
    <w:rsid w:val="007E7DDB"/>
    <w:rsid w:val="007F31BD"/>
    <w:rsid w:val="0080317F"/>
    <w:rsid w:val="00810DAA"/>
    <w:rsid w:val="00815D38"/>
    <w:rsid w:val="00816173"/>
    <w:rsid w:val="00816478"/>
    <w:rsid w:val="00820A5F"/>
    <w:rsid w:val="0082156C"/>
    <w:rsid w:val="00822A82"/>
    <w:rsid w:val="00827D68"/>
    <w:rsid w:val="00836039"/>
    <w:rsid w:val="00841056"/>
    <w:rsid w:val="00851F7F"/>
    <w:rsid w:val="00852EB3"/>
    <w:rsid w:val="0086151A"/>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DBE"/>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C139D"/>
    <w:rsid w:val="00AC3856"/>
    <w:rsid w:val="00AD5488"/>
    <w:rsid w:val="00AD7F63"/>
    <w:rsid w:val="00AE1B07"/>
    <w:rsid w:val="00AF0D8F"/>
    <w:rsid w:val="00AF2DAB"/>
    <w:rsid w:val="00B17FF4"/>
    <w:rsid w:val="00B23BD6"/>
    <w:rsid w:val="00B30996"/>
    <w:rsid w:val="00B32247"/>
    <w:rsid w:val="00B40AB0"/>
    <w:rsid w:val="00B4267B"/>
    <w:rsid w:val="00B45D86"/>
    <w:rsid w:val="00B517DF"/>
    <w:rsid w:val="00B51B6F"/>
    <w:rsid w:val="00B534C5"/>
    <w:rsid w:val="00B60DD0"/>
    <w:rsid w:val="00B66BB3"/>
    <w:rsid w:val="00B731F7"/>
    <w:rsid w:val="00B822E1"/>
    <w:rsid w:val="00B862C9"/>
    <w:rsid w:val="00B90E3D"/>
    <w:rsid w:val="00B91CD6"/>
    <w:rsid w:val="00B92C26"/>
    <w:rsid w:val="00BA06FA"/>
    <w:rsid w:val="00BA2CDD"/>
    <w:rsid w:val="00BC0662"/>
    <w:rsid w:val="00BC090C"/>
    <w:rsid w:val="00BC471D"/>
    <w:rsid w:val="00BC5244"/>
    <w:rsid w:val="00BE48FD"/>
    <w:rsid w:val="00BE588D"/>
    <w:rsid w:val="00BE69D6"/>
    <w:rsid w:val="00C02192"/>
    <w:rsid w:val="00C02E58"/>
    <w:rsid w:val="00C0747D"/>
    <w:rsid w:val="00C20634"/>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7489"/>
    <w:rsid w:val="00D16C26"/>
    <w:rsid w:val="00D23D79"/>
    <w:rsid w:val="00D41C95"/>
    <w:rsid w:val="00D4720C"/>
    <w:rsid w:val="00D6511F"/>
    <w:rsid w:val="00D65148"/>
    <w:rsid w:val="00D7167A"/>
    <w:rsid w:val="00D7337C"/>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6870"/>
    <w:rsid w:val="00DE11D5"/>
    <w:rsid w:val="00DE151E"/>
    <w:rsid w:val="00DE46A3"/>
    <w:rsid w:val="00DF361F"/>
    <w:rsid w:val="00DF7E92"/>
    <w:rsid w:val="00E017A1"/>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B04BF"/>
    <w:rsid w:val="00FB559F"/>
    <w:rsid w:val="00FB5F38"/>
    <w:rsid w:val="00FC2685"/>
    <w:rsid w:val="00FC7602"/>
    <w:rsid w:val="00FD4C06"/>
    <w:rsid w:val="00FE1F7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160;ck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optp.vlada.gov.sk/ine-dokumenty/"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optp.vlada.gov.sk/ine-dokumenty/" TargetMode="External"/><Relationship Id="rId28" Type="http://schemas.openxmlformats.org/officeDocument/2006/relationships/hyperlink" Target="http://www.ecas.org/" TargetMode="External"/><Relationship Id="rId36" Type="http://schemas.openxmlformats.org/officeDocument/2006/relationships/theme" Target="theme/theme1.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www.finance.gov.sk/Default.aspx?CatID=9348" TargetMode="External"/><Relationship Id="rId27" Type="http://schemas.openxmlformats.org/officeDocument/2006/relationships/hyperlink" Target="http://www.partnerskadohoda.gov.sk/273-sk/koordinacia-synergii-a-komplementarit-medzi-esif-a-ostatnymi-nastrojmi-podpory-eu-a-sr/"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optp.vlada.gov.sk/domov/"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0E582-323A-4FA3-A6A6-B6CF92577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8639</Words>
  <Characters>49248</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2018-11-06T11:29:00Z</dcterms:created>
  <dcterms:modified xsi:type="dcterms:W3CDTF">2018-11-07T08:55:00Z</dcterms:modified>
</cp:coreProperties>
</file>