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551" w:rsidRDefault="00E70551" w:rsidP="00E70551">
      <w:pPr>
        <w:pStyle w:val="Nadpis2"/>
        <w:rPr>
          <w:bCs w:val="0"/>
        </w:rPr>
      </w:pPr>
      <w:bookmarkStart w:id="0" w:name="_GoBack"/>
      <w:bookmarkEnd w:id="0"/>
      <w:r>
        <w:rPr>
          <w:bCs w:val="0"/>
        </w:rPr>
        <w:t xml:space="preserve">Príloha č. 3 </w:t>
      </w:r>
      <w:r w:rsidRPr="00D358CA">
        <w:rPr>
          <w:bCs w:val="0"/>
        </w:rPr>
        <w:t>Redefinícia kompetencií špecializovaných subjektov</w:t>
      </w:r>
    </w:p>
    <w:p w:rsidR="00E70551" w:rsidRDefault="00E70551" w:rsidP="00E70551"/>
    <w:p w:rsidR="00E70551" w:rsidRPr="00C21AF0" w:rsidRDefault="00E70551" w:rsidP="00E70551">
      <w:pPr>
        <w:rPr>
          <w:b/>
        </w:rPr>
      </w:pPr>
      <w:r w:rsidRPr="00C21AF0">
        <w:rPr>
          <w:b/>
        </w:rPr>
        <w:t>CO</w:t>
      </w:r>
    </w:p>
    <w:p w:rsidR="00E70551" w:rsidRPr="002025EA" w:rsidRDefault="00E70551" w:rsidP="00E70551">
      <w:pPr>
        <w:rPr>
          <w:rFonts w:cs="Calibri"/>
        </w:rPr>
      </w:pPr>
      <w:r w:rsidRPr="002D626F">
        <w:t>Z hľadis</w:t>
      </w:r>
      <w:r w:rsidRPr="002B0C3B">
        <w:t>ka zabezpečenia kontinuity nastavených procesov je vhodné, aby funkciu certifikačného orgánu v</w:t>
      </w:r>
      <w:r w:rsidRPr="0025162C">
        <w:t xml:space="preserve"> programovom období </w:t>
      </w:r>
      <w:r w:rsidRPr="0019644B">
        <w:t>2014</w:t>
      </w:r>
      <w:r w:rsidRPr="005917D7">
        <w:t>-2020</w:t>
      </w:r>
      <w:r w:rsidRPr="002025EA">
        <w:t xml:space="preserve"> vykonávalo naďalej MF SR, aj vzhľadom k tomu, že </w:t>
      </w:r>
      <w:r w:rsidRPr="00354EFD">
        <w:t>funkcie certifikačného orgánu sú pre PO 2014-2020 takmer identické s jeho funkciami v PO 2007–2013</w:t>
      </w:r>
      <w:r w:rsidRPr="002D626F">
        <w:t>, </w:t>
      </w:r>
      <w:r w:rsidRPr="002B0C3B">
        <w:t xml:space="preserve">s funkciami platobného orgánu v </w:t>
      </w:r>
      <w:r w:rsidRPr="0025162C">
        <w:t> </w:t>
      </w:r>
      <w:r w:rsidRPr="0019644B">
        <w:t xml:space="preserve">programovom období </w:t>
      </w:r>
      <w:r w:rsidRPr="005917D7">
        <w:t>2004–2006, ako aj s funkciami Národného fondu pre predvstupové fondy.</w:t>
      </w:r>
    </w:p>
    <w:p w:rsidR="00E70551" w:rsidRPr="003749AE" w:rsidRDefault="00E70551" w:rsidP="00E70551">
      <w:pPr>
        <w:rPr>
          <w:rFonts w:cs="Calibri"/>
          <w:b/>
        </w:rPr>
      </w:pPr>
      <w:r w:rsidRPr="003749AE">
        <w:rPr>
          <w:rFonts w:cs="Calibri"/>
        </w:rPr>
        <w:t xml:space="preserve">Na základe toho nie je v rámci </w:t>
      </w:r>
      <w:r>
        <w:rPr>
          <w:rFonts w:cs="Calibri"/>
        </w:rPr>
        <w:t>PO</w:t>
      </w:r>
      <w:r w:rsidRPr="003749AE">
        <w:rPr>
          <w:rFonts w:cs="Calibri"/>
        </w:rPr>
        <w:t xml:space="preserve"> 2014</w:t>
      </w:r>
      <w:r>
        <w:rPr>
          <w:rFonts w:cs="Calibri"/>
        </w:rPr>
        <w:t>-2020</w:t>
      </w:r>
      <w:r w:rsidRPr="003749AE">
        <w:rPr>
          <w:rFonts w:cs="Calibri"/>
        </w:rPr>
        <w:t xml:space="preserve"> potrebné pristupovať k vytváraniu nových organizačných </w:t>
      </w:r>
      <w:r>
        <w:rPr>
          <w:rFonts w:cs="Calibri"/>
        </w:rPr>
        <w:t>jednotiek</w:t>
      </w:r>
      <w:r w:rsidRPr="003749AE">
        <w:rPr>
          <w:rFonts w:cs="Calibri"/>
        </w:rPr>
        <w:t>, ale je potrebné posilňovať už vytvorené a predovšetkým z pohľadu EK fungujúce a spoľahlivé štruktúry. Na základe toho bude MF SR v</w:t>
      </w:r>
      <w:r>
        <w:rPr>
          <w:rFonts w:cs="Calibri"/>
        </w:rPr>
        <w:t> programovom období</w:t>
      </w:r>
      <w:r w:rsidRPr="003749AE">
        <w:rPr>
          <w:rFonts w:cs="Calibri"/>
        </w:rPr>
        <w:t xml:space="preserve"> 2014</w:t>
      </w:r>
      <w:r>
        <w:rPr>
          <w:rFonts w:cs="Calibri"/>
        </w:rPr>
        <w:t>-2020</w:t>
      </w:r>
      <w:r w:rsidRPr="003749AE">
        <w:rPr>
          <w:rFonts w:cs="Calibri"/>
        </w:rPr>
        <w:t xml:space="preserve"> naďalej vykonávať úlohy certifikačného orgánu. </w:t>
      </w:r>
      <w:r w:rsidRPr="00E37971">
        <w:rPr>
          <w:rFonts w:cs="Calibri"/>
        </w:rPr>
        <w:t xml:space="preserve">Uvedené bolo stanovené uznesením vlády SR č. 318/2013 k </w:t>
      </w:r>
      <w:r w:rsidRPr="00E37971">
        <w:rPr>
          <w:rFonts w:cs="Calibri"/>
          <w:bCs/>
        </w:rPr>
        <w:t xml:space="preserve">návrhu na určenie certifikačného orgánu a orgánu auditu pre OP </w:t>
      </w:r>
      <w:r>
        <w:rPr>
          <w:rFonts w:cs="Calibri"/>
          <w:bCs/>
        </w:rPr>
        <w:t xml:space="preserve">v PO </w:t>
      </w:r>
      <w:r w:rsidRPr="00E37971">
        <w:rPr>
          <w:rFonts w:cs="Calibri"/>
          <w:bCs/>
        </w:rPr>
        <w:t>2014</w:t>
      </w:r>
      <w:r>
        <w:rPr>
          <w:rFonts w:cs="Calibri"/>
          <w:bCs/>
        </w:rPr>
        <w:t>-2020</w:t>
      </w:r>
      <w:r w:rsidRPr="00E37971">
        <w:rPr>
          <w:rFonts w:cs="Calibri"/>
          <w:bCs/>
        </w:rPr>
        <w:t>.</w:t>
      </w:r>
    </w:p>
    <w:p w:rsidR="00E70551" w:rsidRPr="002D626F" w:rsidRDefault="00E70551" w:rsidP="00E70551">
      <w:pPr>
        <w:tabs>
          <w:tab w:val="num" w:pos="0"/>
        </w:tabs>
        <w:rPr>
          <w:rFonts w:cs="Calibri"/>
        </w:rPr>
      </w:pPr>
      <w:r w:rsidRPr="002D626F">
        <w:rPr>
          <w:rFonts w:cs="Calibri"/>
        </w:rPr>
        <w:t xml:space="preserve">Vzhľadom na potrebu posilnenia centrálnej regulačnej funkcie CKO pre </w:t>
      </w:r>
      <w:r w:rsidRPr="0025162C">
        <w:rPr>
          <w:rFonts w:cs="Calibri"/>
        </w:rPr>
        <w:t>PO</w:t>
      </w:r>
      <w:r w:rsidRPr="0019644B">
        <w:rPr>
          <w:rFonts w:cs="Calibri"/>
        </w:rPr>
        <w:t xml:space="preserve">  </w:t>
      </w:r>
      <w:r w:rsidRPr="005917D7">
        <w:rPr>
          <w:rFonts w:cs="Calibri"/>
        </w:rPr>
        <w:t>2014</w:t>
      </w:r>
      <w:r w:rsidRPr="002025EA">
        <w:rPr>
          <w:rFonts w:cs="Calibri"/>
        </w:rPr>
        <w:t>-2020</w:t>
      </w:r>
      <w:r w:rsidRPr="00FB13BE">
        <w:rPr>
          <w:rFonts w:cs="Calibri"/>
        </w:rPr>
        <w:t xml:space="preserve">, vzhľadom na </w:t>
      </w:r>
      <w:r w:rsidRPr="002E0E5C">
        <w:rPr>
          <w:rFonts w:cs="Calibri"/>
        </w:rPr>
        <w:t xml:space="preserve">Nariadenie EÚ č. 1303/2013, </w:t>
      </w:r>
      <w:r w:rsidRPr="00FC6008">
        <w:rPr>
          <w:rFonts w:cs="Calibri"/>
        </w:rPr>
        <w:t xml:space="preserve">definované kompetencie CO pre </w:t>
      </w:r>
      <w:r w:rsidRPr="00354EFD">
        <w:rPr>
          <w:rFonts w:cs="Calibri"/>
        </w:rPr>
        <w:t>PO 2014-2020 a vychádzajúc z analýzy procesov na CO bude</w:t>
      </w:r>
      <w:r w:rsidRPr="002D626F">
        <w:rPr>
          <w:rFonts w:cs="Calibri"/>
        </w:rPr>
        <w:t xml:space="preserve"> </w:t>
      </w:r>
      <w:r w:rsidRPr="00354EFD">
        <w:rPr>
          <w:rFonts w:cs="Calibri"/>
        </w:rPr>
        <w:t>v </w:t>
      </w:r>
      <w:r>
        <w:rPr>
          <w:rFonts w:cs="Calibri"/>
        </w:rPr>
        <w:t>PO</w:t>
      </w:r>
      <w:r w:rsidRPr="00354EFD">
        <w:rPr>
          <w:rFonts w:cs="Calibri"/>
        </w:rPr>
        <w:t xml:space="preserve"> 2014-2020</w:t>
      </w:r>
      <w:r w:rsidRPr="002D626F">
        <w:rPr>
          <w:rFonts w:cs="Calibri"/>
        </w:rPr>
        <w:t xml:space="preserve"> </w:t>
      </w:r>
      <w:r w:rsidRPr="00354EFD">
        <w:rPr>
          <w:rFonts w:cs="Calibri"/>
        </w:rPr>
        <w:t>potrebné</w:t>
      </w:r>
      <w:r w:rsidRPr="002D626F">
        <w:rPr>
          <w:rFonts w:cs="Calibri"/>
        </w:rPr>
        <w:t xml:space="preserve"> nasledovné:</w:t>
      </w:r>
    </w:p>
    <w:p w:rsidR="00E70551" w:rsidRPr="002B0C3B" w:rsidRDefault="00E70551" w:rsidP="00E70551">
      <w:pPr>
        <w:pStyle w:val="Odsekzoznamu"/>
        <w:numPr>
          <w:ilvl w:val="0"/>
          <w:numId w:val="2"/>
        </w:numPr>
        <w:tabs>
          <w:tab w:val="clear" w:pos="340"/>
          <w:tab w:val="num" w:pos="510"/>
        </w:tabs>
        <w:spacing w:after="0"/>
        <w:ind w:left="1190"/>
      </w:pPr>
      <w:r w:rsidRPr="00354EFD">
        <w:t>Ponechať organizačnú štruktúru</w:t>
      </w:r>
      <w:r w:rsidRPr="002D626F">
        <w:t xml:space="preserve"> sekcie európskych fondov MF SR plniacej úlohy CO v jej súčasnej po</w:t>
      </w:r>
      <w:r w:rsidRPr="002B0C3B">
        <w:t>dobe</w:t>
      </w:r>
    </w:p>
    <w:p w:rsidR="00E70551" w:rsidRPr="002B0C3B" w:rsidRDefault="00E70551" w:rsidP="00E70551">
      <w:pPr>
        <w:pStyle w:val="Odsekzoznamu"/>
        <w:numPr>
          <w:ilvl w:val="0"/>
          <w:numId w:val="2"/>
        </w:numPr>
        <w:tabs>
          <w:tab w:val="clear" w:pos="340"/>
          <w:tab w:val="num" w:pos="510"/>
        </w:tabs>
        <w:spacing w:after="0"/>
        <w:ind w:left="1190"/>
      </w:pPr>
      <w:r w:rsidRPr="00354EFD">
        <w:t>Navýšiť počet AK na CO</w:t>
      </w:r>
      <w:r w:rsidRPr="002D626F">
        <w:t xml:space="preserve"> (sekcii európskych fondov MF SR) </w:t>
      </w:r>
    </w:p>
    <w:p w:rsidR="00E70551" w:rsidRPr="0019644B" w:rsidRDefault="00E70551" w:rsidP="00E70551">
      <w:pPr>
        <w:pStyle w:val="Odsekzoznamu"/>
        <w:numPr>
          <w:ilvl w:val="0"/>
          <w:numId w:val="2"/>
        </w:numPr>
        <w:tabs>
          <w:tab w:val="clear" w:pos="340"/>
          <w:tab w:val="num" w:pos="510"/>
        </w:tabs>
        <w:spacing w:after="0"/>
        <w:ind w:left="1190"/>
      </w:pPr>
      <w:r w:rsidRPr="00354EFD">
        <w:t>Definovať úlohy CO</w:t>
      </w:r>
      <w:r w:rsidRPr="002D626F">
        <w:t xml:space="preserve"> v relevantnej legislatíve a riadiacich dokumentoch EŠIF pre </w:t>
      </w:r>
      <w:r>
        <w:t>PO</w:t>
      </w:r>
      <w:r w:rsidRPr="002D626F">
        <w:t xml:space="preserve"> </w:t>
      </w:r>
      <w:r w:rsidRPr="002B0C3B">
        <w:t>2014</w:t>
      </w:r>
      <w:r w:rsidRPr="0025162C">
        <w:t>-2020</w:t>
      </w:r>
    </w:p>
    <w:p w:rsidR="00E70551" w:rsidRPr="005917D7" w:rsidRDefault="00E70551" w:rsidP="00E70551">
      <w:pPr>
        <w:pStyle w:val="Odsekzoznamu"/>
        <w:spacing w:after="0"/>
        <w:ind w:left="1190"/>
        <w:rPr>
          <w:u w:val="single"/>
        </w:rPr>
      </w:pPr>
    </w:p>
    <w:p w:rsidR="00E70551" w:rsidRPr="002B0C3B" w:rsidRDefault="00E70551" w:rsidP="00E70551">
      <w:pPr>
        <w:rPr>
          <w:rFonts w:cs="Calibri"/>
        </w:rPr>
      </w:pPr>
      <w:r w:rsidRPr="002025EA">
        <w:rPr>
          <w:rFonts w:cs="Calibri"/>
        </w:rPr>
        <w:t>Uvedené riešenia sú zamerané na pokračovanie dobrej praxe vo vykonávaní funkcií CO v</w:t>
      </w:r>
      <w:r w:rsidRPr="00FB13BE">
        <w:rPr>
          <w:rFonts w:cs="Calibri"/>
        </w:rPr>
        <w:t> </w:t>
      </w:r>
      <w:r>
        <w:rPr>
          <w:rFonts w:cs="Calibri"/>
        </w:rPr>
        <w:t>PO</w:t>
      </w:r>
      <w:r w:rsidRPr="002D626F">
        <w:rPr>
          <w:rFonts w:cs="Calibri"/>
        </w:rPr>
        <w:t xml:space="preserve"> </w:t>
      </w:r>
      <w:r w:rsidRPr="002B0C3B">
        <w:rPr>
          <w:rFonts w:cs="Calibri"/>
        </w:rPr>
        <w:t xml:space="preserve">2007–2013. </w:t>
      </w:r>
      <w:r w:rsidRPr="0025162C">
        <w:rPr>
          <w:bCs/>
        </w:rPr>
        <w:t xml:space="preserve">Doterajšia implementácia procesov a činnosť CO </w:t>
      </w:r>
      <w:r w:rsidRPr="0019644B">
        <w:t>v rámci</w:t>
      </w:r>
      <w:r w:rsidRPr="005917D7">
        <w:t xml:space="preserve"> MF SR </w:t>
      </w:r>
      <w:r w:rsidRPr="002025EA">
        <w:t>ne</w:t>
      </w:r>
      <w:r w:rsidRPr="00FB13BE">
        <w:t xml:space="preserve">bola </w:t>
      </w:r>
      <w:r w:rsidRPr="002E0E5C">
        <w:t xml:space="preserve">EK žiadnym spôsobom v minulosti spochybnená. EK niekoľkokrát vyzdvihla nastavenie a funkčnosť MF SR ako CO a využila ho ako príklad aj pre ďalšie, najmä nové členské štáty. Zámerom opatrení stratégie </w:t>
      </w:r>
      <w:r w:rsidRPr="00FC6008">
        <w:t xml:space="preserve">je preto pokračovať v doterajšej dobrej a </w:t>
      </w:r>
      <w:r w:rsidRPr="00354EFD">
        <w:t xml:space="preserve">osvedčenej implementácii procesov a činností CO a vyvarovať sa negatívnym javom na konci </w:t>
      </w:r>
      <w:r>
        <w:t>PO</w:t>
      </w:r>
      <w:r w:rsidRPr="002D626F">
        <w:t>.</w:t>
      </w:r>
    </w:p>
    <w:p w:rsidR="00E70551" w:rsidRPr="00105B60" w:rsidRDefault="00E70551" w:rsidP="00E70551">
      <w:r>
        <w:rPr>
          <w:rFonts w:cs="Calibri"/>
        </w:rPr>
        <w:t>Navrhované potreby vytvoria</w:t>
      </w:r>
      <w:r w:rsidRPr="00105B60">
        <w:rPr>
          <w:rFonts w:cs="Calibri"/>
        </w:rPr>
        <w:t xml:space="preserve"> predpoklad pre efektívne nastavenie koordinácie činností subjektov zapojených do implementácie EŠIF v oblasti finančného riadenia. Zavedenie riešenia sa prejaví aj v eliminácii nepotrebných zmien v organizačnej štruktúre CO, ktoré by viedli ku komplikáciám v efektívnom finančnom riadení subjektov.</w:t>
      </w:r>
    </w:p>
    <w:p w:rsidR="00E70551" w:rsidRPr="00105B60" w:rsidRDefault="00E70551" w:rsidP="00E70551">
      <w:r w:rsidRPr="00105B60">
        <w:t xml:space="preserve">MF SR má v súčasnosti už vybudované stabilné a dostatočne skúsené </w:t>
      </w:r>
      <w:r>
        <w:t>AK</w:t>
      </w:r>
      <w:r w:rsidRPr="00105B60">
        <w:t xml:space="preserve"> a CO </w:t>
      </w:r>
      <w:r w:rsidRPr="00105B60">
        <w:rPr>
          <w:bCs/>
        </w:rPr>
        <w:t>na</w:t>
      </w:r>
      <w:r w:rsidRPr="00105B60">
        <w:t xml:space="preserve"> MF SR je dlhodobo považovaný zo strany EK a EDA za stabilný, spoľahlivý a fungujúci prvok systému. Úlohou návrhov je posilniť už vytvorené a predovšetkým z pohľadu EK dobre fungujúce a spoľahlivé štruktúry.</w:t>
      </w:r>
    </w:p>
    <w:p w:rsidR="00E70551" w:rsidRPr="00105B60" w:rsidRDefault="00E70551" w:rsidP="00E70551">
      <w:r w:rsidRPr="00105B60">
        <w:t>Zachovanie organizačnej štruktúry a navýšenie počtu AK majú mať pozitívny vplyv na vykonávanie činností CO v</w:t>
      </w:r>
      <w:r>
        <w:t> PO</w:t>
      </w:r>
      <w:r w:rsidRPr="00105B60">
        <w:t xml:space="preserve"> 2014</w:t>
      </w:r>
      <w:r>
        <w:t>-2020</w:t>
      </w:r>
      <w:r w:rsidRPr="00105B60">
        <w:t xml:space="preserve"> vzhľadom na novú kompetenciu CO definovanú v Nariadení EÚ č. 1303/2013.</w:t>
      </w:r>
    </w:p>
    <w:p w:rsidR="00E70551" w:rsidRDefault="00E70551" w:rsidP="00E70551">
      <w:r w:rsidRPr="00105B60">
        <w:t>Vzhľadom na cieľ dosiahnuť efektívne riadenie EŠIF v</w:t>
      </w:r>
      <w:r>
        <w:t> PO</w:t>
      </w:r>
      <w:r w:rsidRPr="00105B60">
        <w:t xml:space="preserve"> 2014</w:t>
      </w:r>
      <w:r>
        <w:t>-2020</w:t>
      </w:r>
      <w:r w:rsidRPr="00105B60">
        <w:t xml:space="preserve"> bude potrebné monitorovať dopady jednotlivých návrhov v pravidelných intervaloch a vyhodnocovať ich vplyv na činnosť CO.</w:t>
      </w:r>
    </w:p>
    <w:p w:rsidR="00E70551" w:rsidRDefault="00E70551" w:rsidP="00E70551">
      <w:pPr>
        <w:pStyle w:val="Odsekzoznamu"/>
      </w:pPr>
    </w:p>
    <w:p w:rsidR="00E70551" w:rsidRPr="00105B60" w:rsidRDefault="00E70551" w:rsidP="00E70551">
      <w:pPr>
        <w:pStyle w:val="Odsekzoznamu"/>
      </w:pPr>
    </w:p>
    <w:p w:rsidR="00E70551" w:rsidRPr="006957F9" w:rsidRDefault="00E70551" w:rsidP="00E70551">
      <w:pPr>
        <w:rPr>
          <w:rFonts w:cs="Calibri"/>
          <w:b/>
        </w:rPr>
      </w:pPr>
      <w:r w:rsidRPr="006957F9">
        <w:rPr>
          <w:rFonts w:cs="Calibri"/>
          <w:b/>
        </w:rPr>
        <w:lastRenderedPageBreak/>
        <w:t>CKO</w:t>
      </w:r>
    </w:p>
    <w:p w:rsidR="00E70551" w:rsidRPr="002D626F" w:rsidRDefault="00E70551" w:rsidP="00E70551">
      <w:pPr>
        <w:rPr>
          <w:rFonts w:cs="Calibri"/>
        </w:rPr>
      </w:pPr>
      <w:r w:rsidRPr="002D626F">
        <w:t>F</w:t>
      </w:r>
      <w:r w:rsidRPr="002B0C3B">
        <w:rPr>
          <w:rFonts w:cs="Calibri"/>
        </w:rPr>
        <w:t xml:space="preserve">unkciu CKO bude potrebné </w:t>
      </w:r>
      <w:r w:rsidRPr="0025162C">
        <w:rPr>
          <w:rFonts w:cs="Calibri"/>
        </w:rPr>
        <w:t>zefektívniť a zabezpečiť</w:t>
      </w:r>
      <w:r w:rsidRPr="0019644B">
        <w:rPr>
          <w:rFonts w:cs="Calibri"/>
        </w:rPr>
        <w:t xml:space="preserve"> k tomu primerané zmeny v jeho kompetenciách. Riadiaca úloha CKO je dlhodobo </w:t>
      </w:r>
      <w:r w:rsidRPr="00354EFD">
        <w:rPr>
          <w:rFonts w:cs="Calibri"/>
        </w:rPr>
        <w:t>nedocenená</w:t>
      </w:r>
      <w:r w:rsidRPr="002D626F">
        <w:rPr>
          <w:rFonts w:cs="Calibri"/>
        </w:rPr>
        <w:t xml:space="preserve">. </w:t>
      </w:r>
      <w:r w:rsidRPr="00354EFD">
        <w:rPr>
          <w:rFonts w:cs="Calibri"/>
        </w:rPr>
        <w:t>Na základe skúseností z PO 2007–2013 bude význam CKO posilnený a v PO 2014-2020 bude uplatňovaný prístup od metodického prístupu k proaktívnejšiemu, riadiacemu prístupu, čomu bude zodpovedať budúce postavenie CKO. Postavenie CKO bude podobne ako pri CO a OA, nezávislé od RO a SORO.</w:t>
      </w:r>
    </w:p>
    <w:p w:rsidR="00E70551" w:rsidRPr="00354EFD" w:rsidRDefault="00E70551" w:rsidP="00E70551">
      <w:pPr>
        <w:rPr>
          <w:rFonts w:cs="Calibri"/>
        </w:rPr>
      </w:pPr>
      <w:r w:rsidRPr="002B0C3B">
        <w:rPr>
          <w:rFonts w:cs="Calibri"/>
        </w:rPr>
        <w:t xml:space="preserve">V oblasti zmien v kompetenciách CKO ako jedného zo špecializovaných subjektov </w:t>
      </w:r>
      <w:r w:rsidRPr="0025162C">
        <w:rPr>
          <w:rFonts w:cs="Calibri"/>
        </w:rPr>
        <w:t xml:space="preserve">bude potrebné </w:t>
      </w:r>
      <w:r w:rsidRPr="00354EFD">
        <w:rPr>
          <w:rFonts w:cs="Calibri"/>
        </w:rPr>
        <w:t>ponechať</w:t>
      </w:r>
      <w:r w:rsidRPr="002D626F">
        <w:rPr>
          <w:rFonts w:cs="Calibri"/>
        </w:rPr>
        <w:t xml:space="preserve"> kľúčové činnosti CKO, ktoré CKO zastrešoval v</w:t>
      </w:r>
      <w:r w:rsidRPr="002B0C3B">
        <w:rPr>
          <w:rFonts w:cs="Calibri"/>
        </w:rPr>
        <w:t> </w:t>
      </w:r>
      <w:r>
        <w:rPr>
          <w:rFonts w:cs="Calibri"/>
        </w:rPr>
        <w:t>PO</w:t>
      </w:r>
      <w:r w:rsidRPr="002D626F">
        <w:rPr>
          <w:rFonts w:cs="Calibri"/>
        </w:rPr>
        <w:t xml:space="preserve"> </w:t>
      </w:r>
      <w:r w:rsidRPr="002B0C3B">
        <w:rPr>
          <w:rFonts w:cs="Calibri"/>
        </w:rPr>
        <w:t>2007–2013, t.j. programovanie na strategickej úrovni, koordinácia a metodické usmerňovanie subjektov zapojených do implementácie EŠIF, vývoj a prevádzka ITMS, monitorovanie a hodnotenie implementácie EŠIF, príprava legislatívy politiky súdržnosti a inform</w:t>
      </w:r>
      <w:r w:rsidRPr="0025162C">
        <w:rPr>
          <w:rFonts w:cs="Calibri"/>
        </w:rPr>
        <w:t xml:space="preserve">ovanie a publicita implementácie EŠIF a </w:t>
      </w:r>
      <w:r w:rsidRPr="0019644B">
        <w:rPr>
          <w:rFonts w:cs="Calibri"/>
        </w:rPr>
        <w:t xml:space="preserve">výrazne </w:t>
      </w:r>
      <w:r w:rsidRPr="00354EFD">
        <w:rPr>
          <w:rFonts w:cs="Calibri"/>
        </w:rPr>
        <w:t>posilniť</w:t>
      </w:r>
      <w:r w:rsidRPr="002D626F">
        <w:rPr>
          <w:rFonts w:cs="Calibri"/>
        </w:rPr>
        <w:t xml:space="preserve"> </w:t>
      </w:r>
      <w:r w:rsidRPr="00354EFD">
        <w:rPr>
          <w:rFonts w:cs="Calibri"/>
        </w:rPr>
        <w:t>centrálnu regulačnú pozíciu CKO</w:t>
      </w:r>
      <w:r w:rsidRPr="002D626F">
        <w:rPr>
          <w:rFonts w:cs="Calibri"/>
        </w:rPr>
        <w:t xml:space="preserve"> v prípravnej fáze implementácie EŠIF </w:t>
      </w:r>
      <w:r w:rsidRPr="002B0C3B">
        <w:rPr>
          <w:rFonts w:cs="Arial"/>
        </w:rPr>
        <w:t xml:space="preserve">(programovanie, metodická činnosť a pod.), </w:t>
      </w:r>
      <w:r w:rsidRPr="0025162C">
        <w:rPr>
          <w:rFonts w:cs="Calibri"/>
        </w:rPr>
        <w:t xml:space="preserve">ako aj počas implementácie EŠIF vo všetkých jej fázach. </w:t>
      </w:r>
      <w:r w:rsidRPr="0019644B">
        <w:rPr>
          <w:rFonts w:cs="Arial"/>
        </w:rPr>
        <w:t>CKO by mal byť zodpovedný za efektívnu a účinnú koordináciu riadenia pomoci z EŠIF z centrálnej úrovne. Uvedené sa zabe</w:t>
      </w:r>
      <w:r w:rsidRPr="005917D7">
        <w:rPr>
          <w:rFonts w:cs="Arial"/>
        </w:rPr>
        <w:t xml:space="preserve">zpečí prostredníctvom efektívneho systému monitorovania a hodnotenia </w:t>
      </w:r>
      <w:r w:rsidRPr="002025EA">
        <w:rPr>
          <w:rFonts w:cs="Arial"/>
        </w:rPr>
        <w:t xml:space="preserve">implementácie </w:t>
      </w:r>
      <w:r w:rsidRPr="00FB13BE">
        <w:rPr>
          <w:rFonts w:cs="Arial"/>
        </w:rPr>
        <w:t>PD SR a OP, s možnosťou reálneho dosahu na navrhovanie konkrétnych nápravných opatrení pri ich neplnení. Dôjde k posilneniu role CKO ako koordinátora a metodického garanta v</w:t>
      </w:r>
      <w:r w:rsidRPr="002E0E5C">
        <w:rPr>
          <w:rFonts w:cs="Arial"/>
        </w:rPr>
        <w:t xml:space="preserve">šetkých subjektov zapojených do implementácie EŠIF na národnej úrovni, vrátane posilnenia dohľadu CKO nad jednotnosťou systému implementácie na úrovni RO, vrátane metodickej podpory CKO v oblasti VO. Konkrétne práva a povinnosti spojené s realizáciou nápravných opatrení budú zadefinované v legislatíve SR a riadiacich dokumentoch EŠIF (napr. zákon o pomoci z EŠIF, systém riadenia a kontroly EŠIF, akčné plány a pod.). Predpokladom efektívneho výkonu uvedených činností je zabezpečenie inštitucionálnej stabilizácie CKO prostredníctvom posilnenia </w:t>
      </w:r>
      <w:r w:rsidRPr="00FC6008">
        <w:rPr>
          <w:rFonts w:cs="Arial"/>
        </w:rPr>
        <w:t>AK</w:t>
      </w:r>
      <w:r w:rsidRPr="00354EFD">
        <w:rPr>
          <w:rFonts w:cs="Arial"/>
        </w:rPr>
        <w:t xml:space="preserve"> a zefektívnenia štruktúry, vrátane dobudovania analytických kapacít. </w:t>
      </w:r>
      <w:r w:rsidRPr="00354EFD">
        <w:rPr>
          <w:rFonts w:cs="Calibri"/>
        </w:rPr>
        <w:t>Uvedené bude zabezpečované prostredníctvom posilnenia kompetencií CKO v </w:t>
      </w:r>
      <w:r>
        <w:rPr>
          <w:rFonts w:cs="Calibri"/>
        </w:rPr>
        <w:t>PO</w:t>
      </w:r>
      <w:r w:rsidRPr="00354EFD">
        <w:rPr>
          <w:rFonts w:cs="Calibri"/>
        </w:rPr>
        <w:t xml:space="preserve"> 2014-2020:</w:t>
      </w:r>
    </w:p>
    <w:p w:rsidR="00E70551" w:rsidRPr="00354EFD" w:rsidRDefault="00E70551" w:rsidP="00E70551">
      <w:pPr>
        <w:pStyle w:val="Odsekzoznamu"/>
        <w:numPr>
          <w:ilvl w:val="0"/>
          <w:numId w:val="3"/>
        </w:numPr>
        <w:tabs>
          <w:tab w:val="num" w:pos="170"/>
        </w:tabs>
        <w:rPr>
          <w:rFonts w:cs="Calibri"/>
        </w:rPr>
      </w:pPr>
      <w:r w:rsidRPr="002D626F">
        <w:t>CKO ako subjekt zodpovedný za implementáciu celkovej a jednotnej stratégie AK</w:t>
      </w:r>
      <w:r w:rsidRPr="002B0C3B">
        <w:t>, v rámci ktorej bude zavedený jednotný systém hodnotenia a odmeňovania AK v oblasti EŠIF a centrálny systém vzdelávania a kariérneho r</w:t>
      </w:r>
      <w:r w:rsidRPr="0025162C">
        <w:t>astu AK v oblasti EŠIF</w:t>
      </w:r>
    </w:p>
    <w:p w:rsidR="00E70551" w:rsidRPr="002D626F" w:rsidRDefault="00E70551" w:rsidP="00E70551">
      <w:pPr>
        <w:pStyle w:val="Odsekzoznamu"/>
        <w:numPr>
          <w:ilvl w:val="0"/>
          <w:numId w:val="3"/>
        </w:numPr>
        <w:tabs>
          <w:tab w:val="clear" w:pos="680"/>
          <w:tab w:val="num" w:pos="850"/>
        </w:tabs>
      </w:pPr>
      <w:r w:rsidRPr="002D626F">
        <w:t>CKO ako subjekt zodpovedný za centrálny dohľad nad výkonom organizačných zmien na úrovni subjektov zapojených do implementácie EŠIF</w:t>
      </w:r>
    </w:p>
    <w:p w:rsidR="00E70551" w:rsidRPr="0025162C" w:rsidRDefault="00E70551" w:rsidP="00E70551">
      <w:pPr>
        <w:pStyle w:val="Odsekzoznamu"/>
        <w:numPr>
          <w:ilvl w:val="0"/>
          <w:numId w:val="3"/>
        </w:numPr>
        <w:tabs>
          <w:tab w:val="clear" w:pos="680"/>
          <w:tab w:val="num" w:pos="850"/>
        </w:tabs>
      </w:pPr>
      <w:r w:rsidRPr="002B0C3B">
        <w:t>CKO ako subjekt zodpovedný za stratégiu opatrení umožňujúcich kontrolu výkonu verejnej moci a podporu</w:t>
      </w:r>
      <w:r w:rsidRPr="0025162C">
        <w:t>júcich boj proti korupcii</w:t>
      </w:r>
    </w:p>
    <w:p w:rsidR="00E70551" w:rsidRPr="005917D7" w:rsidRDefault="00E70551" w:rsidP="00E70551">
      <w:pPr>
        <w:pStyle w:val="Odsekzoznamu"/>
        <w:numPr>
          <w:ilvl w:val="0"/>
          <w:numId w:val="3"/>
        </w:numPr>
        <w:tabs>
          <w:tab w:val="clear" w:pos="680"/>
          <w:tab w:val="num" w:pos="850"/>
        </w:tabs>
      </w:pPr>
      <w:r w:rsidRPr="0019644B">
        <w:t>CKO ako subjekt zodpovedný za strategickú koordináciu implemen</w:t>
      </w:r>
      <w:r w:rsidRPr="005917D7">
        <w:t>tácie EŠIF,  s možnosťou reálneho dosahu na navrhovanie konkrétnych nápravných opatrení pri ich neplnení</w:t>
      </w:r>
    </w:p>
    <w:p w:rsidR="00E70551" w:rsidRPr="00354EFD" w:rsidRDefault="00E70551" w:rsidP="00E70551">
      <w:pPr>
        <w:pStyle w:val="Odsekzoznamu"/>
        <w:numPr>
          <w:ilvl w:val="0"/>
          <w:numId w:val="3"/>
        </w:numPr>
      </w:pPr>
      <w:r w:rsidRPr="002025EA">
        <w:t xml:space="preserve">CKO ako subjekt zodpovedný za prípravu, implementáciu, monitorovania a hodnotenie </w:t>
      </w:r>
      <w:r w:rsidRPr="002E0E5C">
        <w:t xml:space="preserve">EŠIF </w:t>
      </w:r>
      <w:r w:rsidRPr="00FC6008">
        <w:t>na roky 2014 – 2020</w:t>
      </w:r>
      <w:r w:rsidRPr="00354EFD">
        <w:t xml:space="preserve"> a OP, prípravu politiky súdržnosti EÚ po roku 2020, zabezpečenie a koordináciu princípu partnerstva pri implementácii EŠIF, úloh spojených s predsedníctvom SR v Rade EÚ a vo Vyšehradskej skupine (V4) v oblasti politiky súdržnosti EÚ a plnenie úloh registrového úradu Európskych zoskupení územnej spolupráce</w:t>
      </w:r>
    </w:p>
    <w:p w:rsidR="00E70551" w:rsidRPr="00C21AF0" w:rsidRDefault="00E70551" w:rsidP="00E70551">
      <w:pPr>
        <w:pStyle w:val="Odsekzoznamu"/>
        <w:numPr>
          <w:ilvl w:val="0"/>
          <w:numId w:val="3"/>
        </w:numPr>
        <w:tabs>
          <w:tab w:val="clear" w:pos="680"/>
          <w:tab w:val="num" w:pos="850"/>
        </w:tabs>
      </w:pPr>
      <w:r w:rsidRPr="00354EFD">
        <w:t>CKO ako gestor koordinácie horizontálnych princípov</w:t>
      </w:r>
      <w:r w:rsidRPr="00694D0F">
        <w:rPr>
          <w:color w:val="FF0000"/>
        </w:rPr>
        <w:t xml:space="preserve"> </w:t>
      </w:r>
      <w:r w:rsidRPr="00C21AF0">
        <w:t>a programov nadnárodnej spolupráce</w:t>
      </w:r>
    </w:p>
    <w:p w:rsidR="00E70551" w:rsidRPr="00354EFD" w:rsidRDefault="00E70551" w:rsidP="00E70551">
      <w:pPr>
        <w:pStyle w:val="Odsekzoznamu"/>
        <w:numPr>
          <w:ilvl w:val="0"/>
          <w:numId w:val="3"/>
        </w:numPr>
        <w:tabs>
          <w:tab w:val="clear" w:pos="680"/>
          <w:tab w:val="num" w:pos="850"/>
        </w:tabs>
      </w:pPr>
      <w:r w:rsidRPr="00354EFD">
        <w:t>CKO ako gestor uplatňovania výkonnostného rámca a prerozdeľovania výkonnostnej rezervy</w:t>
      </w:r>
    </w:p>
    <w:p w:rsidR="00E70551" w:rsidRPr="00354EFD" w:rsidRDefault="00E70551" w:rsidP="00E70551">
      <w:pPr>
        <w:pStyle w:val="Odsekzoznamu"/>
        <w:numPr>
          <w:ilvl w:val="0"/>
          <w:numId w:val="3"/>
        </w:numPr>
        <w:tabs>
          <w:tab w:val="clear" w:pos="680"/>
          <w:tab w:val="num" w:pos="850"/>
        </w:tabs>
      </w:pPr>
      <w:r w:rsidRPr="00354EFD">
        <w:t>CKO ako subjekt zodpovedný za centrálnu koordináciu publicity a informovanosti</w:t>
      </w:r>
    </w:p>
    <w:p w:rsidR="00E70551" w:rsidRPr="0025162C" w:rsidRDefault="00E70551" w:rsidP="00E70551">
      <w:pPr>
        <w:pStyle w:val="Odsekzoznamu"/>
        <w:numPr>
          <w:ilvl w:val="0"/>
          <w:numId w:val="3"/>
        </w:numPr>
        <w:tabs>
          <w:tab w:val="clear" w:pos="680"/>
          <w:tab w:val="num" w:pos="850"/>
        </w:tabs>
      </w:pPr>
      <w:r w:rsidRPr="00354EFD">
        <w:lastRenderedPageBreak/>
        <w:t xml:space="preserve">CKO ako vlastník ITMS zodpovedný za jeho prebudovanie, vývoj a prevádzku pre </w:t>
      </w:r>
      <w:r>
        <w:t>PO</w:t>
      </w:r>
      <w:r w:rsidRPr="002D626F">
        <w:t xml:space="preserve"> </w:t>
      </w:r>
      <w:r w:rsidRPr="002B0C3B">
        <w:t>2014</w:t>
      </w:r>
      <w:r w:rsidRPr="0025162C">
        <w:t>-2020</w:t>
      </w:r>
    </w:p>
    <w:p w:rsidR="00E70551" w:rsidRPr="005917D7" w:rsidRDefault="00E70551" w:rsidP="00E70551">
      <w:pPr>
        <w:pStyle w:val="Odsekzoznamu"/>
        <w:numPr>
          <w:ilvl w:val="0"/>
          <w:numId w:val="3"/>
        </w:numPr>
        <w:tabs>
          <w:tab w:val="clear" w:pos="680"/>
          <w:tab w:val="num" w:pos="850"/>
        </w:tabs>
      </w:pPr>
      <w:r w:rsidRPr="0019644B">
        <w:t>CKO ako nezávislý monitorovací subjekt</w:t>
      </w:r>
    </w:p>
    <w:p w:rsidR="00E70551" w:rsidRPr="002E0E5C" w:rsidRDefault="00E70551" w:rsidP="00E70551">
      <w:r w:rsidRPr="002025EA">
        <w:t>Predložené návrhy sú zamerané na posilnenie centrálnej regulačnej pozície CKO v prípravnej fáze implementácie EŠIF (pr</w:t>
      </w:r>
      <w:r w:rsidRPr="00FB13BE">
        <w:t>ogramovanie, metodická činnosť a pod.), ako aj počas implementácie EŠIF vo všetkých jej fázach, vrátane reálneho dohľadu CKO nad implementáciou EŠIF (navrhovanie nápravných opatrení a vyhodnocovanie ich plnenia).</w:t>
      </w:r>
      <w:r w:rsidRPr="002E0E5C">
        <w:t xml:space="preserve"> Takéto posilnenie vytvorí predpoklad pre zjednodušenie, zefektívnenie a zjednotenie nastavenia systému riadenia implementácie EŠIF. Zároveň sa zavedenie návrhu prejaví v správnej kvantifikácii AK a optimalizácii pracovných pozícií a pracovných rolí na CKO. Posilnením regulačnej pozície CKO sa zároveň vytvorí aj predpoklad pre zintenzívnenie spolupráce CKO s jednotlivými RO, SORO a špecializovanými subjektmi a naplní sa základná misia celej stratégie riadenia AK premietnutá do jej cieľov (odbornosť, kontinuita, profesionalita, efektívnosť a účinnosť).</w:t>
      </w:r>
    </w:p>
    <w:p w:rsidR="00E70551" w:rsidRPr="00354EFD" w:rsidRDefault="00E70551" w:rsidP="00E70551">
      <w:r w:rsidRPr="00FC6008">
        <w:t>Predložené návrhy v oblasti kompetencií CKO budú mať vplyv na posilnenie centrálnej regulačnej pozície CKO</w:t>
      </w:r>
      <w:r w:rsidRPr="00354EFD">
        <w:rPr>
          <w:rFonts w:cs="Calibri"/>
        </w:rPr>
        <w:t xml:space="preserve"> a zároveň vplyv na úspešnú implementáciu stratégie AK. </w:t>
      </w:r>
    </w:p>
    <w:p w:rsidR="00E70551" w:rsidRPr="00354EFD" w:rsidRDefault="00E70551" w:rsidP="00E70551">
      <w:r w:rsidRPr="00354EFD">
        <w:t>Úspešné posilnenie regulačnej pozície CKO bude znamenať dosiahnutie želaných dopadov na efektívne fungovanie systému riadenia EŠIF a zároveň budú dosiahnuté aj želané dopady na efektívne fungovanie stratégie AK.</w:t>
      </w:r>
    </w:p>
    <w:p w:rsidR="00E70551" w:rsidRDefault="00E70551" w:rsidP="00E70551">
      <w:r w:rsidRPr="00354EFD">
        <w:t xml:space="preserve">Okrem pozitívnych dopadov budú mať navrhované riešenia dopad na národnú legislatívu a riadiace dokumenty EŠIF, na AK na CKO, finančné dopady, na ktoré bude potrebné vyčleniť finančné prostriedky z technickej pomoci, a dopady na prijatie zásadných politických rozhodnutí. </w:t>
      </w:r>
    </w:p>
    <w:p w:rsidR="00DE5895" w:rsidRDefault="00DE5895" w:rsidP="00C37365">
      <w:pPr>
        <w:rPr>
          <w:color w:val="000000"/>
        </w:rPr>
      </w:pPr>
      <w:r>
        <w:t xml:space="preserve">V zmysle </w:t>
      </w:r>
      <w:r w:rsidRPr="00F114BC">
        <w:t xml:space="preserve">zákona </w:t>
      </w:r>
      <w:r>
        <w:t xml:space="preserve">č. </w:t>
      </w:r>
      <w:r w:rsidRPr="00F114BC">
        <w:t xml:space="preserve">171/2016 Z.z. </w:t>
      </w:r>
      <w:r w:rsidRPr="00C37365">
        <w:rPr>
          <w:color w:val="000000"/>
        </w:rPr>
        <w:t xml:space="preserve"> </w:t>
      </w:r>
      <w:r w:rsidR="001E6899" w:rsidRPr="00C37365">
        <w:rPr>
          <w:color w:val="000000"/>
        </w:rPr>
        <w:t>pre</w:t>
      </w:r>
      <w:r w:rsidR="001E6899">
        <w:rPr>
          <w:color w:val="000000"/>
        </w:rPr>
        <w:t>šli</w:t>
      </w:r>
      <w:r w:rsidR="001E6899" w:rsidRPr="00C37365">
        <w:rPr>
          <w:color w:val="000000"/>
        </w:rPr>
        <w:t xml:space="preserve"> </w:t>
      </w:r>
      <w:r w:rsidRPr="00C37365">
        <w:rPr>
          <w:color w:val="000000"/>
        </w:rPr>
        <w:t xml:space="preserve">pôsobnosti v oblasti koordinácie využívania finančných prostriedkov z fondov Európskej únie z Úradu vlády Slovenskej republiky na Úrad podpredsedu vlády Slovenskej republiky pre investície a informatizáciu od 1. 6. 2016. </w:t>
      </w:r>
    </w:p>
    <w:p w:rsidR="001E6899" w:rsidRPr="00C37365" w:rsidRDefault="001E6899" w:rsidP="00C37365">
      <w:pPr>
        <w:rPr>
          <w:color w:val="000000"/>
        </w:rPr>
      </w:pPr>
      <w:r w:rsidRPr="001E6899">
        <w:rPr>
          <w:color w:val="000000"/>
        </w:rPr>
        <w:t xml:space="preserve">Prijatím zákona č. 134/2020 Z. z., ktorým sa mení a dopĺňa zákon č. 575/2001 Z. z. o organizácii činnosti vlády a organizácii ústrednej štátnej správy v znení neskorších predpisov a ktorým sa menia a dopĺňajú niektoré zákony podľa § 40ah s účinnosťou od 1. júla 2020 prešli práva a povinnosti ÚPPVII SR na novovytvorené </w:t>
      </w:r>
      <w:r>
        <w:rPr>
          <w:color w:val="000000"/>
        </w:rPr>
        <w:t>MIRRI SR.</w:t>
      </w:r>
    </w:p>
    <w:p w:rsidR="00324BDB" w:rsidRPr="00354EFD" w:rsidRDefault="00DE5895" w:rsidP="00DE5895">
      <w:r>
        <w:rPr>
          <w:color w:val="000000"/>
        </w:rPr>
        <w:t>V tejto súvislosti dôjde k oddeleniu činností v oblasti informovania a komunikácie od centrálneho koordinačného orgánu</w:t>
      </w:r>
      <w:r w:rsidRPr="007649A4">
        <w:rPr>
          <w:color w:val="000000"/>
        </w:rPr>
        <w:t xml:space="preserve"> </w:t>
      </w:r>
      <w:r>
        <w:rPr>
          <w:color w:val="000000"/>
        </w:rPr>
        <w:t>od 1. 6. 2016. Zároveň v nadväznosti na organizačnú zmenu  došlo aj k oddeleniu činností v oblastiach stratégie riadenia a vzdelávania administratívnych kapacít</w:t>
      </w:r>
      <w:r w:rsidRPr="00E425AE">
        <w:rPr>
          <w:color w:val="000000"/>
        </w:rPr>
        <w:t xml:space="preserve"> </w:t>
      </w:r>
      <w:r>
        <w:rPr>
          <w:color w:val="000000"/>
        </w:rPr>
        <w:t>od 15. 5. 2016. Tieto činnosti bude naďalej zabezpečovať ÚV SR.</w:t>
      </w:r>
    </w:p>
    <w:p w:rsidR="00E70551" w:rsidRDefault="00E70551" w:rsidP="00E70551">
      <w:pPr>
        <w:rPr>
          <w:rFonts w:cs="Calibri"/>
          <w:b/>
          <w:u w:val="single"/>
        </w:rPr>
      </w:pPr>
    </w:p>
    <w:p w:rsidR="00E70551" w:rsidRPr="006957F9" w:rsidRDefault="00E70551" w:rsidP="00E70551">
      <w:pPr>
        <w:rPr>
          <w:rFonts w:cs="Calibri"/>
          <w:b/>
        </w:rPr>
      </w:pPr>
      <w:r w:rsidRPr="006957F9">
        <w:rPr>
          <w:rFonts w:cs="Calibri"/>
          <w:b/>
        </w:rPr>
        <w:t>OA</w:t>
      </w:r>
    </w:p>
    <w:p w:rsidR="00E70551" w:rsidRPr="002A0171" w:rsidRDefault="00E70551" w:rsidP="00E70551">
      <w:r w:rsidRPr="002A0171">
        <w:t xml:space="preserve">MF SR má v súčasnosti vybudované skúsené administratívne a personálne kapacity na zabezpečenie funkcií OA pre </w:t>
      </w:r>
      <w:r>
        <w:t>PO</w:t>
      </w:r>
      <w:r w:rsidRPr="002A0171">
        <w:t xml:space="preserve"> 2014-2020. Činnosť OA nie je vo všeobecnosti možné oddeliť od zodpovedností MF SR vyplývajúcich z jeho kompetencií ako je výkon a metodické usmerňovanie finančnej kontroly, vnútorného auditu a vládneho auditu.</w:t>
      </w:r>
    </w:p>
    <w:p w:rsidR="00E70551" w:rsidRPr="00354EFD" w:rsidRDefault="00E70551" w:rsidP="00E70551">
      <w:pPr>
        <w:tabs>
          <w:tab w:val="num" w:pos="0"/>
        </w:tabs>
        <w:rPr>
          <w:rFonts w:cs="Calibri"/>
        </w:rPr>
      </w:pPr>
      <w:r w:rsidRPr="002A0171">
        <w:t>MF SR bude v</w:t>
      </w:r>
      <w:r>
        <w:t> PO</w:t>
      </w:r>
      <w:r w:rsidRPr="002A0171">
        <w:t xml:space="preserve"> 2014-2020 naďalej vykonávať aj úlohy orgánu auditu. </w:t>
      </w:r>
      <w:r w:rsidRPr="00354EFD">
        <w:rPr>
          <w:rFonts w:cs="Calibri"/>
        </w:rPr>
        <w:t xml:space="preserve">Uvedené bolo stanovené uznesením vlády SR č. 519/2014 k </w:t>
      </w:r>
      <w:r>
        <w:rPr>
          <w:rFonts w:cs="Calibri"/>
        </w:rPr>
        <w:t>,,</w:t>
      </w:r>
      <w:r w:rsidRPr="00354EFD">
        <w:rPr>
          <w:rFonts w:cs="Calibri"/>
        </w:rPr>
        <w:t xml:space="preserve">Štruktúre subjektov implementácie európskych štrukturálnych a investičných fondov na </w:t>
      </w:r>
      <w:r>
        <w:rPr>
          <w:rFonts w:cs="Calibri"/>
        </w:rPr>
        <w:t>PO</w:t>
      </w:r>
      <w:r w:rsidRPr="00354EFD">
        <w:rPr>
          <w:rFonts w:cs="Calibri"/>
        </w:rPr>
        <w:t xml:space="preserve"> 2014 – 2020  a  zabezpečenie administratívnych kapacít do roku 2016</w:t>
      </w:r>
      <w:r>
        <w:rPr>
          <w:rFonts w:cs="Calibri"/>
        </w:rPr>
        <w:t>“ (ďalej aj uznesenie vlády SR č. 519/2014“) .</w:t>
      </w:r>
    </w:p>
    <w:p w:rsidR="00E70551" w:rsidRPr="002A0171" w:rsidRDefault="00E70551" w:rsidP="00E70551">
      <w:pPr>
        <w:tabs>
          <w:tab w:val="num" w:pos="0"/>
        </w:tabs>
        <w:rPr>
          <w:rFonts w:cs="Calibri"/>
        </w:rPr>
      </w:pPr>
      <w:r w:rsidRPr="002A0171">
        <w:rPr>
          <w:rFonts w:cs="Calibri"/>
        </w:rPr>
        <w:lastRenderedPageBreak/>
        <w:t xml:space="preserve">Vzhľadom na nariadenie EÚ č. 1303/2013 a </w:t>
      </w:r>
      <w:r w:rsidRPr="002A0171">
        <w:t xml:space="preserve">nariadením EÚ č. 966/2012 </w:t>
      </w:r>
      <w:r w:rsidRPr="002A0171">
        <w:rPr>
          <w:rFonts w:cs="Calibri"/>
        </w:rPr>
        <w:t xml:space="preserve">definované kompetencie OA pre PO 2014 - 2020 a vychádzajúc z analýzy procesov na OA </w:t>
      </w:r>
      <w:r w:rsidRPr="002A0171">
        <w:rPr>
          <w:rFonts w:cs="Calibri"/>
          <w:b/>
        </w:rPr>
        <w:t>bude v PO 2014 - 2020</w:t>
      </w:r>
      <w:r w:rsidRPr="002A0171">
        <w:rPr>
          <w:rFonts w:cs="Calibri"/>
        </w:rPr>
        <w:t xml:space="preserve"> </w:t>
      </w:r>
      <w:r w:rsidRPr="002A0171">
        <w:rPr>
          <w:rFonts w:cs="Calibri"/>
          <w:b/>
        </w:rPr>
        <w:t>potrebné</w:t>
      </w:r>
      <w:r w:rsidRPr="002A0171">
        <w:rPr>
          <w:rFonts w:cs="Calibri"/>
        </w:rPr>
        <w:t xml:space="preserve"> zabezpečiť nasledovné:</w:t>
      </w:r>
    </w:p>
    <w:p w:rsidR="00E70551" w:rsidRPr="002A0171" w:rsidRDefault="00E70551" w:rsidP="00E70551">
      <w:pPr>
        <w:numPr>
          <w:ilvl w:val="0"/>
          <w:numId w:val="4"/>
        </w:numPr>
        <w:tabs>
          <w:tab w:val="num" w:pos="170"/>
        </w:tabs>
        <w:contextualSpacing/>
      </w:pPr>
      <w:r w:rsidRPr="002A0171">
        <w:t>zabezpečiť dostatočné kapacity na kvalitné zabezpečenie úloh OA</w:t>
      </w:r>
    </w:p>
    <w:p w:rsidR="00E70551" w:rsidRPr="002A0171" w:rsidRDefault="00E70551" w:rsidP="00E70551">
      <w:pPr>
        <w:numPr>
          <w:ilvl w:val="0"/>
          <w:numId w:val="4"/>
        </w:numPr>
        <w:tabs>
          <w:tab w:val="num" w:pos="170"/>
        </w:tabs>
        <w:contextualSpacing/>
      </w:pPr>
      <w:r w:rsidRPr="002A0171">
        <w:t>zabezpečiť metodický dohľad a usmerňovanie spolupracujúcich orgánov OA</w:t>
      </w:r>
    </w:p>
    <w:p w:rsidR="00E70551" w:rsidRPr="002A0171" w:rsidRDefault="00E70551" w:rsidP="00E70551">
      <w:pPr>
        <w:numPr>
          <w:ilvl w:val="0"/>
          <w:numId w:val="4"/>
        </w:numPr>
        <w:tabs>
          <w:tab w:val="num" w:pos="170"/>
        </w:tabs>
        <w:contextualSpacing/>
        <w:rPr>
          <w:rFonts w:cs="Calibri"/>
        </w:rPr>
      </w:pPr>
      <w:r w:rsidRPr="002A0171">
        <w:rPr>
          <w:rFonts w:cs="Calibri"/>
        </w:rPr>
        <w:t>nastaviť účinné postupy pre výkon vládneho auditu pre PO 2014-2020</w:t>
      </w:r>
    </w:p>
    <w:p w:rsidR="00E70551" w:rsidRPr="002A0171" w:rsidRDefault="00E70551" w:rsidP="00E70551">
      <w:pPr>
        <w:numPr>
          <w:ilvl w:val="0"/>
          <w:numId w:val="4"/>
        </w:numPr>
        <w:tabs>
          <w:tab w:val="clear" w:pos="1020"/>
          <w:tab w:val="num" w:pos="1190"/>
        </w:tabs>
        <w:contextualSpacing/>
      </w:pPr>
      <w:r w:rsidRPr="002A0171">
        <w:t>definovať úlohy OA v relevantnej legislatíve a riadiacich dokumentoch EŠIF pre PO 2014 - 2020</w:t>
      </w:r>
    </w:p>
    <w:p w:rsidR="00E70551" w:rsidRDefault="00E70551" w:rsidP="00E70551">
      <w:r w:rsidRPr="002A0171">
        <w:rPr>
          <w:rFonts w:cs="Calibri"/>
        </w:rPr>
        <w:t>Uvedené potreby sú zamerané na pokračovanie skvalitňovania výkonu funkcií OA</w:t>
      </w:r>
      <w:r>
        <w:rPr>
          <w:rFonts w:cs="Calibri"/>
        </w:rPr>
        <w:t xml:space="preserve"> v rámci implementácie a procesov a činností OA.</w:t>
      </w:r>
      <w:r w:rsidRPr="00105B60" w:rsidDel="00DB093C">
        <w:t xml:space="preserve"> </w:t>
      </w:r>
    </w:p>
    <w:p w:rsidR="00E70551" w:rsidRDefault="00E70551" w:rsidP="00E70551">
      <w:pPr>
        <w:rPr>
          <w:rFonts w:cs="Calibri"/>
        </w:rPr>
      </w:pPr>
      <w:r w:rsidRPr="0004482B">
        <w:rPr>
          <w:rFonts w:cs="Calibri"/>
        </w:rPr>
        <w:t xml:space="preserve">OA </w:t>
      </w:r>
      <w:r>
        <w:rPr>
          <w:rFonts w:cs="Calibri"/>
        </w:rPr>
        <w:t xml:space="preserve">bude </w:t>
      </w:r>
      <w:r w:rsidRPr="0004482B">
        <w:rPr>
          <w:rFonts w:cs="Calibri"/>
        </w:rPr>
        <w:t>vykonáv</w:t>
      </w:r>
      <w:r>
        <w:rPr>
          <w:rFonts w:cs="Calibri"/>
        </w:rPr>
        <w:t>ať</w:t>
      </w:r>
      <w:r w:rsidRPr="0004482B">
        <w:rPr>
          <w:rFonts w:cs="Calibri"/>
        </w:rPr>
        <w:t xml:space="preserve"> audity operácií v PO 2007-2013 až do roku 2016 so zohľadnením, že najvyššie hodnoty deklarovaných výdavkov sa očakávajú práve v roku 2015 a 2016, čo má vplyv na veľkosť overovanej vzorky a množstvo práce, ktoré OA v tomto období čaká</w:t>
      </w:r>
      <w:r>
        <w:rPr>
          <w:rFonts w:cs="Calibri"/>
        </w:rPr>
        <w:t xml:space="preserve">. </w:t>
      </w:r>
      <w:r w:rsidRPr="0004482B">
        <w:rPr>
          <w:rFonts w:cs="Calibri"/>
        </w:rPr>
        <w:t>OA bude zároveň vykonávať audity súvisiace s ukončovaním PO 2007-2013, preto bude potrebné vypracovať výročné kontrolné správy až do roku 2015 a v roku 2017 vypracovať záverečnú kontrolnú správu, ktorá zohľadní aj výsledky za rok 2016 a výsle</w:t>
      </w:r>
      <w:r>
        <w:rPr>
          <w:rFonts w:cs="Calibri"/>
        </w:rPr>
        <w:t>dky z ukončovania PO 2007 -2013. V</w:t>
      </w:r>
      <w:r w:rsidRPr="0004482B">
        <w:rPr>
          <w:rFonts w:cs="Calibri"/>
        </w:rPr>
        <w:t xml:space="preserve"> súvislosti s PO 2014 – 2020 je vidieť jednoznačne zvýšený nárok </w:t>
      </w:r>
      <w:r>
        <w:rPr>
          <w:rFonts w:cs="Calibri"/>
        </w:rPr>
        <w:t>OA</w:t>
      </w:r>
      <w:r w:rsidRPr="0004482B">
        <w:rPr>
          <w:rFonts w:cs="Calibri"/>
        </w:rPr>
        <w:t xml:space="preserve"> na </w:t>
      </w:r>
      <w:r>
        <w:rPr>
          <w:rFonts w:cs="Calibri"/>
        </w:rPr>
        <w:t xml:space="preserve">zabezpečenie </w:t>
      </w:r>
      <w:r w:rsidRPr="0004482B">
        <w:rPr>
          <w:rFonts w:cs="Calibri"/>
        </w:rPr>
        <w:t>výkon</w:t>
      </w:r>
      <w:r>
        <w:rPr>
          <w:rFonts w:cs="Calibri"/>
        </w:rPr>
        <w:t>u</w:t>
      </w:r>
      <w:r w:rsidRPr="0004482B">
        <w:rPr>
          <w:rFonts w:cs="Calibri"/>
        </w:rPr>
        <w:t xml:space="preserve"> auditu a </w:t>
      </w:r>
      <w:r>
        <w:rPr>
          <w:rFonts w:cs="Calibri"/>
        </w:rPr>
        <w:t xml:space="preserve">s tým súvisiacich </w:t>
      </w:r>
      <w:r w:rsidRPr="0004482B">
        <w:rPr>
          <w:rFonts w:cs="Calibri"/>
        </w:rPr>
        <w:t>administratívn</w:t>
      </w:r>
      <w:r>
        <w:rPr>
          <w:rFonts w:cs="Calibri"/>
        </w:rPr>
        <w:t>ych</w:t>
      </w:r>
      <w:r w:rsidRPr="0004482B">
        <w:rPr>
          <w:rFonts w:cs="Calibri"/>
        </w:rPr>
        <w:t xml:space="preserve"> kapac</w:t>
      </w:r>
      <w:r>
        <w:rPr>
          <w:rFonts w:cs="Calibri"/>
        </w:rPr>
        <w:t>ít</w:t>
      </w:r>
      <w:r w:rsidRPr="0004482B">
        <w:rPr>
          <w:rFonts w:cs="Calibri"/>
        </w:rPr>
        <w:t>, nakoľko v PO 2014 - 2020 je alokovaný vyšší objem vyčlenených prostriedkov EÚ (v PO 2007 – 2013 bolo v rámci NSRR alokovaných 11,360 mld. EUR, v PO 2014 -2020 sú alokované finančné prostriedky z EŠIF vo výške 15,329 mld. EUR s ďalšími 223,367 mil. EUR na operačné programy v rámci cieľa Európska územná spolupráca), a teda bude potrebné auditovať väčší objem prostriedkov, čo má zároveň dopad na množstvo práce OA</w:t>
      </w:r>
      <w:r>
        <w:rPr>
          <w:rFonts w:cs="Calibri"/>
        </w:rPr>
        <w:t>.V rámci</w:t>
      </w:r>
      <w:r w:rsidRPr="0004482B">
        <w:rPr>
          <w:rFonts w:cs="Calibri"/>
        </w:rPr>
        <w:t xml:space="preserve"> PO 2014 – 2020 sa síce znižuje počet operačných programov, ale dochádza k navýšeniu počtu zapojených subjektov, ktoré budú predmetom systémových audit</w:t>
      </w:r>
      <w:r>
        <w:rPr>
          <w:rFonts w:cs="Calibri"/>
        </w:rPr>
        <w:t>ov</w:t>
      </w:r>
      <w:r w:rsidRPr="0004482B">
        <w:rPr>
          <w:rFonts w:cs="Calibri"/>
        </w:rPr>
        <w:t>. V PO 2007 - 2013 je celkovo zapojených 29 (RO/SORO) a v PO 2014 -2020 sa plánuje zapojiť celkovo 34 RO/SORO čo je skoro o 15% viac ako tomu bolo</w:t>
      </w:r>
      <w:r>
        <w:rPr>
          <w:rFonts w:cs="Calibri"/>
        </w:rPr>
        <w:t xml:space="preserve"> v súčasnom PO. </w:t>
      </w:r>
    </w:p>
    <w:p w:rsidR="00E70551" w:rsidRDefault="00E70551" w:rsidP="00E70551">
      <w:pPr>
        <w:rPr>
          <w:rFonts w:cs="Calibri"/>
        </w:rPr>
      </w:pPr>
      <w:r>
        <w:rPr>
          <w:rFonts w:cs="Calibri"/>
        </w:rPr>
        <w:t xml:space="preserve">Orgán auditu bude </w:t>
      </w:r>
      <w:r w:rsidRPr="0004482B">
        <w:rPr>
          <w:rFonts w:cs="Calibri"/>
        </w:rPr>
        <w:t>plniť úlohu nezávislého auditného subjektu v súvislosti s auditom pripravenosti na PO 2014 - 2020, čo si vyžaduje taktiež dodatočné administratívne kapacity v do roku 2016</w:t>
      </w:r>
      <w:r>
        <w:rPr>
          <w:rFonts w:cs="Calibri"/>
        </w:rPr>
        <w:t>.</w:t>
      </w:r>
      <w:r w:rsidRPr="0004482B">
        <w:rPr>
          <w:rFonts w:cs="Calibri"/>
        </w:rPr>
        <w:t xml:space="preserve"> OA bude vykonávať audity účtov v súlade ustanovením čl. 127 nariadenia č. 1303 /2013 a čl. 29 nariadenia 480/2014, čo je nová kompetencia v porovnaní s PO 2007-2013</w:t>
      </w:r>
      <w:r>
        <w:rPr>
          <w:rFonts w:cs="Calibri"/>
        </w:rPr>
        <w:t>. V</w:t>
      </w:r>
      <w:r w:rsidRPr="0004482B">
        <w:rPr>
          <w:rFonts w:cs="Calibri"/>
        </w:rPr>
        <w:t xml:space="preserve">zhľadom na ročné uzatváranie účtov a nastavenie </w:t>
      </w:r>
      <w:r>
        <w:rPr>
          <w:rFonts w:cs="Calibri"/>
        </w:rPr>
        <w:t>PO</w:t>
      </w:r>
      <w:r w:rsidRPr="0004482B">
        <w:rPr>
          <w:rFonts w:cs="Calibri"/>
        </w:rPr>
        <w:t xml:space="preserve"> 2014 - 2020 sa doba výkonu všetkých auditov OA skrátila minimálne o pol roka oproti PO 2007 - 2013, čo bude mať dopad na vyťaženos</w:t>
      </w:r>
      <w:r>
        <w:rPr>
          <w:rFonts w:cs="Calibri"/>
        </w:rPr>
        <w:t>ť administratívnych kapacít OA a spolupracujúcich orgánov.</w:t>
      </w:r>
    </w:p>
    <w:p w:rsidR="00E70551" w:rsidRDefault="00937598" w:rsidP="00E70551">
      <w:r w:rsidRPr="00937598">
        <w:rPr>
          <w:rFonts w:cs="Calibri"/>
        </w:rPr>
        <w:t>Zároveň OA vzhľadom na požiadavku EK z Pozičného dokumentu EK k vypracovaniu Partnerskej dohody a programov na Slovensku na roky 2014 – 2020 zabezpečiť nezávislosť OA zlúčením spolupracujúcich orgánov pod OA, ako aj na základe vykonávaných re-auditov (hodnotení kvality) práce spolupracujúcich orgánov, OA prehodnotil Dohody o pravidlách spolupráce medzi Ministerstvom financií SR a príslušnými rezortmi, čím došlo k presunu činnosti vykonávaných príslušnými spolupracujúcimi orgánmi na OA. OA využíval 24 audítorov z jednotlivých rezortov v zmysle vyššie spomínaných dohôd. V súvislosti s presunom týchto činností je potrebné navýšenie administratívnych kapacít pre OA, resp. pre spolupracujúce orgány.</w:t>
      </w:r>
      <w:r w:rsidRPr="00937598" w:rsidDel="00937598">
        <w:rPr>
          <w:rFonts w:cs="Calibri"/>
        </w:rPr>
        <w:t xml:space="preserve"> </w:t>
      </w:r>
      <w:r w:rsidR="00E70551" w:rsidRPr="00105B60">
        <w:t xml:space="preserve">Na základe toho </w:t>
      </w:r>
      <w:r w:rsidR="00E70551">
        <w:t>bude</w:t>
      </w:r>
      <w:r w:rsidR="00E70551" w:rsidRPr="00105B60">
        <w:t xml:space="preserve"> v prípade </w:t>
      </w:r>
      <w:r w:rsidR="00E70551">
        <w:t>OA</w:t>
      </w:r>
      <w:r w:rsidR="00E70551" w:rsidRPr="00105B60">
        <w:t xml:space="preserve"> v rámci </w:t>
      </w:r>
      <w:r w:rsidR="00E70551" w:rsidRPr="002A0171">
        <w:t xml:space="preserve">PO 2014 </w:t>
      </w:r>
      <w:r w:rsidR="00E70551">
        <w:t>–</w:t>
      </w:r>
      <w:r w:rsidR="00E70551" w:rsidRPr="002A0171">
        <w:t xml:space="preserve"> 2020</w:t>
      </w:r>
      <w:r w:rsidR="00E70551">
        <w:t xml:space="preserve"> </w:t>
      </w:r>
      <w:r w:rsidR="00E70551" w:rsidRPr="00105B60">
        <w:t xml:space="preserve">potrebné pristupovať k vytváraniu </w:t>
      </w:r>
      <w:r w:rsidR="00E70551">
        <w:t xml:space="preserve">kvalitných </w:t>
      </w:r>
      <w:r w:rsidR="00E70551" w:rsidRPr="00105B60">
        <w:t xml:space="preserve">organizačných štruktúr. </w:t>
      </w:r>
    </w:p>
    <w:p w:rsidR="00E70551" w:rsidRPr="00105B60" w:rsidRDefault="00E70551" w:rsidP="00E70551">
      <w:r w:rsidRPr="00791C68">
        <w:t xml:space="preserve">Realizáciou identifikovaných potrieb </w:t>
      </w:r>
      <w:r w:rsidRPr="00791C68">
        <w:rPr>
          <w:rFonts w:cs="Calibri"/>
        </w:rPr>
        <w:t xml:space="preserve">dôjde k efektívnemu nastaveniu koordinácie činností subjektov zapojených do </w:t>
      </w:r>
      <w:r>
        <w:rPr>
          <w:rFonts w:cs="Calibri"/>
        </w:rPr>
        <w:t>auditu EŠIF</w:t>
      </w:r>
      <w:r w:rsidRPr="00791C68">
        <w:rPr>
          <w:rFonts w:cs="Calibri"/>
        </w:rPr>
        <w:t xml:space="preserve">. </w:t>
      </w:r>
      <w:r>
        <w:t xml:space="preserve">Skvalitnenie </w:t>
      </w:r>
      <w:r w:rsidRPr="00105B60">
        <w:t>organizačnej štruktúry a navýšenie počtu AK majú mať pozitívny vplyv na vykonávanie činností OA v PO 2014+ vzhľadom na novú kompetenciu OA definovanú v </w:t>
      </w:r>
      <w:r>
        <w:t>n</w:t>
      </w:r>
      <w:r w:rsidRPr="00105B60">
        <w:t>ariadení EÚ č. 1303/2013 a v </w:t>
      </w:r>
      <w:r>
        <w:t>n</w:t>
      </w:r>
      <w:r w:rsidRPr="00105B60">
        <w:t xml:space="preserve">ariadení EÚ č. 966/2012 </w:t>
      </w:r>
      <w:r w:rsidRPr="00105B60">
        <w:lastRenderedPageBreak/>
        <w:t xml:space="preserve">a vzhľadom na dlhodobú pracovnú vyťaženosť zamestnancov OA pri výkone vládneho auditu. </w:t>
      </w:r>
    </w:p>
    <w:p w:rsidR="00E70551" w:rsidRDefault="00E70551" w:rsidP="00E70551">
      <w:pPr>
        <w:rPr>
          <w:rFonts w:cs="Calibri"/>
        </w:rPr>
      </w:pPr>
      <w:r w:rsidRPr="00105B60">
        <w:t xml:space="preserve">Za najdôležitejšie vplyvy v prípade OA považujeme očakávaný pozitívny efekt </w:t>
      </w:r>
      <w:r>
        <w:t>účinného nastavenia</w:t>
      </w:r>
      <w:r w:rsidRPr="00105B60">
        <w:t xml:space="preserve"> postupov pre výkon vládneho auditu a</w:t>
      </w:r>
      <w:r>
        <w:t xml:space="preserve"> dostatočné </w:t>
      </w:r>
      <w:r w:rsidRPr="00105B60">
        <w:t>AK potrebné na jeho výkon</w:t>
      </w:r>
      <w:r>
        <w:t>.</w:t>
      </w:r>
    </w:p>
    <w:p w:rsidR="00E70551" w:rsidRPr="00FC0109" w:rsidRDefault="00E70551" w:rsidP="00E70551">
      <w:pPr>
        <w:rPr>
          <w:rFonts w:cs="Calibri"/>
        </w:rPr>
      </w:pPr>
    </w:p>
    <w:p w:rsidR="00E70551" w:rsidRPr="006957F9" w:rsidRDefault="00E70551" w:rsidP="00E70551">
      <w:pPr>
        <w:rPr>
          <w:rFonts w:cs="Calibri"/>
          <w:b/>
        </w:rPr>
      </w:pPr>
      <w:r>
        <w:rPr>
          <w:rFonts w:cs="Calibri"/>
          <w:b/>
        </w:rPr>
        <w:t>Gestori</w:t>
      </w:r>
      <w:r w:rsidRPr="006957F9">
        <w:rPr>
          <w:rFonts w:cs="Calibri"/>
          <w:b/>
        </w:rPr>
        <w:t xml:space="preserve"> HP</w:t>
      </w:r>
    </w:p>
    <w:p w:rsidR="00E70551" w:rsidRDefault="00E70551" w:rsidP="00E70551">
      <w:pPr>
        <w:pStyle w:val="Zkladntext"/>
      </w:pPr>
      <w:r w:rsidRPr="00105B60">
        <w:t xml:space="preserve">V novom </w:t>
      </w:r>
      <w:r>
        <w:t>PO</w:t>
      </w:r>
      <w:r w:rsidRPr="00105B60">
        <w:t xml:space="preserve"> 2014</w:t>
      </w:r>
      <w:r>
        <w:t>-2020</w:t>
      </w:r>
      <w:r w:rsidRPr="00105B60">
        <w:t xml:space="preserve"> sa doterajšie štyri horizontálne priority nahradia </w:t>
      </w:r>
      <w:r w:rsidR="00686C5A">
        <w:t>tromi</w:t>
      </w:r>
      <w:r w:rsidR="00686C5A" w:rsidRPr="00105B60">
        <w:t xml:space="preserve"> </w:t>
      </w:r>
      <w:r w:rsidRPr="00105B60">
        <w:t>horizontálnymi princípmi</w:t>
      </w:r>
      <w:r>
        <w:t xml:space="preserve">: </w:t>
      </w:r>
    </w:p>
    <w:p w:rsidR="00E70551" w:rsidRDefault="00E70551" w:rsidP="00E70551">
      <w:pPr>
        <w:pStyle w:val="Zkladntext"/>
        <w:numPr>
          <w:ilvl w:val="0"/>
          <w:numId w:val="5"/>
        </w:numPr>
      </w:pPr>
      <w:r w:rsidRPr="00105B60">
        <w:t>horizontálnym princípom Udržateľný rozvoj, ktorý bude mať v gescii Úrad vlády</w:t>
      </w:r>
      <w:r w:rsidR="004F07C9">
        <w:t xml:space="preserve"> (do 31.5.2016)/ </w:t>
      </w:r>
      <w:r w:rsidR="004F07C9">
        <w:rPr>
          <w:szCs w:val="24"/>
        </w:rPr>
        <w:t>/</w:t>
      </w:r>
      <w:r w:rsidR="004F07C9" w:rsidRPr="00290419">
        <w:rPr>
          <w:szCs w:val="24"/>
        </w:rPr>
        <w:t>Úrad podpredsedu vlády SR pre investície a</w:t>
      </w:r>
      <w:r w:rsidR="004F07C9">
        <w:rPr>
          <w:szCs w:val="24"/>
        </w:rPr>
        <w:t> </w:t>
      </w:r>
      <w:r w:rsidR="004F07C9" w:rsidRPr="00290419">
        <w:rPr>
          <w:szCs w:val="24"/>
        </w:rPr>
        <w:t>informatizáciu</w:t>
      </w:r>
      <w:r w:rsidR="004F07C9">
        <w:rPr>
          <w:szCs w:val="24"/>
        </w:rPr>
        <w:t xml:space="preserve"> od 1. 6.2016</w:t>
      </w:r>
      <w:r w:rsidR="001E6899">
        <w:rPr>
          <w:szCs w:val="24"/>
        </w:rPr>
        <w:t>/MIRRI SR (od 1.7.2020)</w:t>
      </w:r>
      <w:r w:rsidR="001E6899" w:rsidRPr="00105B60">
        <w:t>, </w:t>
      </w:r>
    </w:p>
    <w:p w:rsidR="00686C5A" w:rsidRDefault="00E70551" w:rsidP="00E70551">
      <w:pPr>
        <w:pStyle w:val="Zkladntext"/>
        <w:numPr>
          <w:ilvl w:val="0"/>
          <w:numId w:val="5"/>
        </w:numPr>
      </w:pPr>
      <w:r w:rsidRPr="00105B60">
        <w:t xml:space="preserve">horizontálnym princípom </w:t>
      </w:r>
      <w:r w:rsidR="00686C5A">
        <w:t>R</w:t>
      </w:r>
      <w:r w:rsidRPr="00105B60">
        <w:t>ovnos</w:t>
      </w:r>
      <w:r w:rsidR="00686C5A">
        <w:t>ť</w:t>
      </w:r>
      <w:r w:rsidRPr="00105B60">
        <w:t xml:space="preserve"> mužov a žien, </w:t>
      </w:r>
      <w:r w:rsidR="00686C5A" w:rsidRPr="00105B60">
        <w:t>ktor</w:t>
      </w:r>
      <w:r w:rsidR="00686C5A">
        <w:t>ý</w:t>
      </w:r>
      <w:r w:rsidR="00686C5A" w:rsidRPr="00105B60">
        <w:t xml:space="preserve"> </w:t>
      </w:r>
      <w:r w:rsidRPr="00105B60">
        <w:t>bude mať v gescii Ministerstvo práce, sociálnych vecí a</w:t>
      </w:r>
      <w:r w:rsidR="00686C5A">
        <w:t> </w:t>
      </w:r>
      <w:r w:rsidRPr="00105B60">
        <w:t>rodiny</w:t>
      </w:r>
      <w:r w:rsidR="00686C5A">
        <w:t>,</w:t>
      </w:r>
    </w:p>
    <w:p w:rsidR="00E70551" w:rsidRDefault="00686C5A" w:rsidP="00E70551">
      <w:pPr>
        <w:pStyle w:val="Zkladntext"/>
        <w:numPr>
          <w:ilvl w:val="0"/>
          <w:numId w:val="5"/>
        </w:numPr>
      </w:pPr>
      <w:r w:rsidRPr="00105B60">
        <w:t xml:space="preserve">horizontálnym princípom </w:t>
      </w:r>
      <w:r>
        <w:t>Nediskriminácia</w:t>
      </w:r>
      <w:r w:rsidRPr="00105B60">
        <w:t>, ktor</w:t>
      </w:r>
      <w:r>
        <w:t>ý</w:t>
      </w:r>
      <w:r w:rsidRPr="00105B60">
        <w:t xml:space="preserve"> bude mať v gescii Ministerstvo práce, sociálnych vecí a</w:t>
      </w:r>
      <w:r>
        <w:t> </w:t>
      </w:r>
      <w:r w:rsidRPr="00105B60">
        <w:t>rodiny</w:t>
      </w:r>
      <w:r w:rsidR="00E70551" w:rsidRPr="00105B60">
        <w:t>.</w:t>
      </w:r>
    </w:p>
    <w:p w:rsidR="00E70551" w:rsidRPr="00105B60" w:rsidRDefault="00E70551" w:rsidP="00E70551">
      <w:pPr>
        <w:pStyle w:val="Zkladntext"/>
      </w:pPr>
      <w:r>
        <w:t xml:space="preserve">Z </w:t>
      </w:r>
      <w:r w:rsidRPr="00105B60">
        <w:t>P</w:t>
      </w:r>
      <w:r>
        <w:t>D</w:t>
      </w:r>
      <w:r w:rsidRPr="00105B60">
        <w:t xml:space="preserve"> pre roky 2014-2020 vyplývajú pre gestorov niektoré nové úlohy a činnosti, ktoré </w:t>
      </w:r>
      <w:r>
        <w:t>bude potrebné realizovať, monitorovať a hodnotiť</w:t>
      </w:r>
      <w:r w:rsidRPr="00105B60">
        <w:t>.</w:t>
      </w:r>
      <w:r>
        <w:t xml:space="preserve"> Z hľadiska efektívneho riadenia, monitorovania plnenia a hodnotenia bude potrebné </w:t>
      </w:r>
      <w:r w:rsidRPr="00105B60">
        <w:t>posilniť AK gestorov horizontálnych princípov</w:t>
      </w:r>
      <w:r>
        <w:t xml:space="preserve"> v súlade so stratégiou riadenia AK. Nové činnosti sa sústredia na zavedenie </w:t>
      </w:r>
      <w:r w:rsidRPr="00105B60">
        <w:t>sankčn</w:t>
      </w:r>
      <w:r>
        <w:t xml:space="preserve">ých </w:t>
      </w:r>
      <w:r w:rsidRPr="00105B60">
        <w:t>mechanizm</w:t>
      </w:r>
      <w:r>
        <w:t>ov</w:t>
      </w:r>
      <w:r w:rsidRPr="00105B60">
        <w:t xml:space="preserve"> pri nesprávnom odbornom hodnotení alebo nesprávnom posúdení diskvalifikačných kritérií,</w:t>
      </w:r>
      <w:r>
        <w:t xml:space="preserve"> zavedenie mechanizmu </w:t>
      </w:r>
      <w:r w:rsidRPr="00105B60">
        <w:t>pozastavenia vyhlásenia výzvy pri nesúlade pripravovanej výzvy s horizontálnymi princípmi</w:t>
      </w:r>
      <w:r w:rsidR="00686C5A">
        <w:t>, plnenie všeobecných ex ante kondicionalít</w:t>
      </w:r>
      <w:r>
        <w:t xml:space="preserve"> a ďalšie. </w:t>
      </w:r>
    </w:p>
    <w:p w:rsidR="00E70551" w:rsidRPr="00105B60" w:rsidRDefault="00E70551" w:rsidP="00E70551">
      <w:pPr>
        <w:pStyle w:val="Zkladntext"/>
      </w:pPr>
      <w:r>
        <w:t xml:space="preserve">Dôsledná implementácia stratégie AK zabezpečí nárast počtu AK v potrebnom množstve a kvalite a ich následnú stabilizáciu. </w:t>
      </w:r>
      <w:r w:rsidRPr="00105B60">
        <w:t xml:space="preserve">pre výkon úloh a činností, ktoré sú navrhnuté pre </w:t>
      </w:r>
      <w:r>
        <w:t>PO</w:t>
      </w:r>
      <w:r w:rsidRPr="00105B60">
        <w:t xml:space="preserve"> 2014</w:t>
      </w:r>
      <w:r>
        <w:t>-2020</w:t>
      </w:r>
      <w:r w:rsidRPr="00105B60">
        <w:t xml:space="preserve"> a reflektovať nárast práce z dôvodu zvýšenia alokácie finančných prostriedkov z EŠIF. </w:t>
      </w:r>
      <w:r>
        <w:t>Efektivita uvedeného riešenia bude sledovaná</w:t>
      </w:r>
      <w:r w:rsidRPr="00105B60">
        <w:t xml:space="preserve"> prostredníctvom údajov o počte AK na subjektoch definovaných ako gestori horizontálnych princípov. Účinok </w:t>
      </w:r>
      <w:r>
        <w:t xml:space="preserve">riešenia </w:t>
      </w:r>
      <w:r w:rsidRPr="00105B60">
        <w:t>by mal byť sledovaný prostredníctvom výsledkov systémových vládnych auditov, ktoré preukážu, či daný gestor horizontálneho princípu dokáže vykonávať svoje úlohy včas a v požadovanej kvalite.</w:t>
      </w:r>
    </w:p>
    <w:p w:rsidR="00E70551" w:rsidRPr="00105B60" w:rsidRDefault="00E70551" w:rsidP="00E70551">
      <w:pPr>
        <w:pStyle w:val="Zkladntext"/>
      </w:pPr>
      <w:r w:rsidRPr="00105B60">
        <w:t>V prípade zavádzania nových kompetencií pre gestorov ohľadne možnosti prijať prísnejšie opatrenia pre RO/SORO v prípade nesúladu výzvy alebo odborného hodnotenia s horizontálnymi princípmi je potrebné nastaviť nový systém riadenia tak, aby tieto návrhy obsahoval. Systém riadenia EŠIF m</w:t>
      </w:r>
      <w:r>
        <w:t>á</w:t>
      </w:r>
      <w:r w:rsidRPr="00105B60">
        <w:t xml:space="preserve"> v kompetencii CKO, preto by mal monitorovať zavádzanie týchto zmien. Monitorovanie vplyvu týchto návrhov by malo byť realizované taktiež prostredníctvom systémových vládnych auditov.</w:t>
      </w:r>
    </w:p>
    <w:p w:rsidR="00E70551" w:rsidRPr="00105B60" w:rsidRDefault="00E70551" w:rsidP="00E70551">
      <w:r w:rsidRPr="00105B60">
        <w:t xml:space="preserve">Zabezpečenie aktuálnosti údajov v ITMS je </w:t>
      </w:r>
      <w:r>
        <w:t>riešenie, ktoré</w:t>
      </w:r>
      <w:r w:rsidRPr="00105B60">
        <w:t xml:space="preserve"> vyžaduje správne nastavenie systému ITMS pre budúce obdobie. Gestorom ITMS je CKO, preto monitorovanie zavádzania tohto opatrenia by malo byť v jeho kompetencii. Neaktuálnosť údajov v ITMS sa najviac prejavovala v nesúlade údajov vo výročných správach koordinátorov HP a výročných správach jednotlivých OP</w:t>
      </w:r>
      <w:r>
        <w:t xml:space="preserve">, preto bude potrebné </w:t>
      </w:r>
      <w:r w:rsidRPr="008B6138">
        <w:tab/>
        <w:t>zabezpečiť aktuálnosť údajov v ITMS pre zlepšenie monitorovania prínosu projektov pre jednotlivé h</w:t>
      </w:r>
      <w:r>
        <w:t>orizontálne princípy a zlepšiť</w:t>
      </w:r>
      <w:r w:rsidRPr="008B6138">
        <w:t xml:space="preserve"> </w:t>
      </w:r>
      <w:r>
        <w:t xml:space="preserve">kvalitu </w:t>
      </w:r>
      <w:r w:rsidRPr="008B6138">
        <w:t>výstupov ako sú výročné správy</w:t>
      </w:r>
      <w:r>
        <w:t>.</w:t>
      </w:r>
    </w:p>
    <w:p w:rsidR="00E70551" w:rsidRPr="00105B60" w:rsidRDefault="00E70551" w:rsidP="00E70551">
      <w:pPr>
        <w:rPr>
          <w:rFonts w:cs="Calibri"/>
          <w:b/>
          <w:u w:val="single"/>
        </w:rPr>
      </w:pPr>
    </w:p>
    <w:p w:rsidR="00E70551" w:rsidRPr="006957F9" w:rsidRDefault="00E70551" w:rsidP="00E70551">
      <w:pPr>
        <w:rPr>
          <w:rFonts w:cs="Calibri"/>
          <w:b/>
        </w:rPr>
      </w:pPr>
      <w:r w:rsidRPr="006957F9">
        <w:rPr>
          <w:rFonts w:cs="Calibri"/>
          <w:b/>
        </w:rPr>
        <w:t>OCKÚ OLAF</w:t>
      </w:r>
    </w:p>
    <w:p w:rsidR="00E70551" w:rsidRDefault="00E70551" w:rsidP="00E70551">
      <w:r w:rsidRPr="00BA66BD">
        <w:rPr>
          <w:szCs w:val="24"/>
        </w:rPr>
        <w:lastRenderedPageBreak/>
        <w:t>Kompetencie OCKÚ OLAF vyplývajú z jeho postavenia ako koordinačného útvaru pre boj proti podvodom</w:t>
      </w:r>
      <w:r>
        <w:rPr>
          <w:szCs w:val="24"/>
        </w:rPr>
        <w:t>.</w:t>
      </w:r>
      <w:r w:rsidRPr="00105B60">
        <w:t xml:space="preserve"> </w:t>
      </w:r>
      <w:r>
        <w:t>Pre zlepšenie plnenia úloh koordinačného útvaru pre boj proti podvodom OCKÚ OLAF v súlade s požiadavkami nariadenia EP č. 883/2013 v oblasti zabezpečovania účinnej spolupráce a výmeny informácii v Slovenskej republike s Európskym úradom pre boj proti podvodom sa predpokladá kapacitné posilnenie činnosti OCKÚ OLAF v rámci existujúceho legislatívneho prostredia. V tejto súvislosti bude potrebné rozšíriť povedomie o činnosti a poslaní OCKÚ OLAF na verejnosti, p</w:t>
      </w:r>
      <w:r w:rsidRPr="00105B60">
        <w:t xml:space="preserve">rezentovanie jeho úloh </w:t>
      </w:r>
      <w:r>
        <w:t>a</w:t>
      </w:r>
      <w:r w:rsidRPr="00105B60">
        <w:t xml:space="preserve"> informovanie verejnosti o možnostiach nahlasovania podozrení z ohrozovania finančných záujmov EÚ a</w:t>
      </w:r>
      <w:r>
        <w:t>ko aj</w:t>
      </w:r>
      <w:r w:rsidRPr="00105B60">
        <w:t> prezentovanie výsledkov práce najmä formou ukážky vyriešených prípadov</w:t>
      </w:r>
      <w:r>
        <w:t xml:space="preserve">. AK OCKÚ OLAF sa tak budú priamo podieľať na zabezpečovaní riadenia a kontroly EŠIF a preto sa bude na  ne vzťahovať stratégia AK, tj. systém hodnotenia, odmeňovania a vzdelávania za účelom pritiahnutia a stabilizácie odborných kapacít. </w:t>
      </w:r>
    </w:p>
    <w:p w:rsidR="00E70551" w:rsidRPr="00105B60" w:rsidRDefault="00E70551" w:rsidP="00E70551">
      <w:r>
        <w:t xml:space="preserve">Cieľom zapojenie OCKÚ OLAF do riadenia a kontroly EŠIF je </w:t>
      </w:r>
      <w:r w:rsidRPr="00105B60">
        <w:t xml:space="preserve"> zvýšiť preventívnu a zároveň aj represívnu zložku činností OCKÚ OLAF. Preventívne má pôsobiť návrh na zlepšenie povedomia verejnosti o pôsobení OCKÚ OLAF, prezentovanie jeho úloh a činností, informovanie verejnosti o možnostiach nahlasovania podozrení z ohrozovania finančných záujmov EÚ a prezentovanie výsledkov práce najmä formou ukážky vyriešených prípadov. Tieto činnosti by mali preventívne pôsobiť na prijímateľov pomoci a podpory z európskych fondov a odrádzať ich od prípadného podvodného alebo iného trestného konania.</w:t>
      </w:r>
    </w:p>
    <w:p w:rsidR="00E70551" w:rsidRPr="00105B60" w:rsidRDefault="00E70551" w:rsidP="00E70551">
      <w:r w:rsidRPr="00105B60">
        <w:t xml:space="preserve">Represívnu činnosť by mal posilniť návrh na zlepšenie kontrolnej činnosti OCKÚ OLAF, či už prostredníctvom posilnenia kompetencií v oblasti kontroly, zmenou legislatívnych noriem alebo posilnením </w:t>
      </w:r>
      <w:r>
        <w:t>AK</w:t>
      </w:r>
      <w:r w:rsidRPr="00105B60">
        <w:t xml:space="preserve"> OCKÚ OLAF v kontrolnej činnosti.</w:t>
      </w:r>
    </w:p>
    <w:p w:rsidR="00E70551" w:rsidRDefault="00E70551" w:rsidP="00E70551">
      <w:r w:rsidRPr="00105B60">
        <w:t>Ostatné návrhy majú podporný charakter, ich úlohou je prispieť k zlepšovaniu práce a pracovných podmienok zamestnancov OCKÚ OLAF.</w:t>
      </w:r>
    </w:p>
    <w:p w:rsidR="00E70551" w:rsidRDefault="00E70551" w:rsidP="00E70551"/>
    <w:p w:rsidR="00E70551" w:rsidRPr="00A47996" w:rsidRDefault="00E70551" w:rsidP="00E70551">
      <w:pPr>
        <w:rPr>
          <w:b/>
        </w:rPr>
      </w:pPr>
      <w:r w:rsidRPr="00FC0109">
        <w:rPr>
          <w:b/>
        </w:rPr>
        <w:t>MZVaEZ SR</w:t>
      </w:r>
    </w:p>
    <w:p w:rsidR="00E70551" w:rsidRPr="00A47996" w:rsidRDefault="00E70551" w:rsidP="00E70551">
      <w:r w:rsidRPr="00FC0109">
        <w:t>MZVaEZ SR</w:t>
      </w:r>
      <w:r w:rsidRPr="00FD6E09">
        <w:t xml:space="preserve"> je v súlade so zákonom č. 575/2001 Z.z. o organizácii činnosti vlády a organizá</w:t>
      </w:r>
      <w:r w:rsidRPr="00A47996">
        <w:t xml:space="preserve">cii ústrednej štátnej správy v znení neskorších predpisov ústredným orgánom štátnej správy SR pre oblasť koordinácie realizácie politík EÚ. </w:t>
      </w:r>
    </w:p>
    <w:p w:rsidR="00E70551" w:rsidRPr="00A64A2B" w:rsidRDefault="00E70551" w:rsidP="00E70551">
      <w:pPr>
        <w:pStyle w:val="Odsekzoznamu"/>
        <w:spacing w:before="120"/>
        <w:ind w:left="0"/>
        <w:contextualSpacing w:val="0"/>
      </w:pPr>
      <w:r w:rsidRPr="009B1FD1">
        <w:t>Úlohy MZVaEZ SR vo vzťahu k využívaniu EŠIF vykonávajú aj pracovníci MZVaEZ SR pôsobiaci na Stálom zastúpení SR pri</w:t>
      </w:r>
      <w:r w:rsidRPr="00A64A2B">
        <w:t xml:space="preserve"> EÚ v Bruseli na úseku regionálnej politiky EÚ, ktorí sú zároveň súčasťou koordinačných mechanizmov CKO, CO a OA. </w:t>
      </w:r>
    </w:p>
    <w:p w:rsidR="00E70551" w:rsidRDefault="00E70551" w:rsidP="00E70551">
      <w:r w:rsidRPr="0039343E">
        <w:t>Cieľom činností vykonávaných MZVaEZ SR vo vzťahu k využívaniu EŠIF je najmä presadenie záujmov SR na úrovni EÚ v oblasti politiky súdržnosti,</w:t>
      </w:r>
      <w:r w:rsidRPr="001E0A0E">
        <w:t xml:space="preserve"> efektívnejšia komunikácia s inštitúciami EÚ, sprostredkovanie a vysvetlenie pozícií a odporúčaní EK, predchádzanie, resp. rýchlejšie riešenie prípadných implementačných problémov, ako aj využívanie skúseností ostatných členských štátov EÚ pri nastavovaní implementačných mechanizmov v SR.</w:t>
      </w:r>
    </w:p>
    <w:p w:rsidR="00E70551" w:rsidRDefault="00E70551" w:rsidP="00E70551"/>
    <w:p w:rsidR="00E70551" w:rsidRPr="00354EFD" w:rsidRDefault="00E70551" w:rsidP="00E70551">
      <w:pPr>
        <w:rPr>
          <w:b/>
        </w:rPr>
      </w:pPr>
      <w:r w:rsidRPr="00354EFD">
        <w:rPr>
          <w:b/>
        </w:rPr>
        <w:t xml:space="preserve">Koordinátor štátnej pomoci </w:t>
      </w:r>
    </w:p>
    <w:p w:rsidR="00E70551" w:rsidRDefault="009B0EFE" w:rsidP="00E70551">
      <w:r>
        <w:t xml:space="preserve">Protimonopolný úrad SR </w:t>
      </w:r>
      <w:r w:rsidR="00A83644">
        <w:t>(od 1.1.2016 prešli kompetencie z MF SR na</w:t>
      </w:r>
      <w:r>
        <w:t xml:space="preserve"> PMÚ SR</w:t>
      </w:r>
      <w:r w:rsidR="00A83644">
        <w:t>)</w:t>
      </w:r>
      <w:r w:rsidR="00E70551">
        <w:t xml:space="preserve"> bude zároveň plniť nové úlohy koordinátora štátnej pomoci vyplývajúce z reformy EÚ „Modernizácia štátnej pomoci“. Z tohto dôvodu je potrebné navýšiť AK koordinátora štátnej pomoci.</w:t>
      </w:r>
    </w:p>
    <w:p w:rsidR="00E70551" w:rsidRDefault="00E70551" w:rsidP="00E70551">
      <w:r>
        <w:lastRenderedPageBreak/>
        <w:t xml:space="preserve">Európska komisia v máji 2012 prijala dokument „Modernizácia štátnej pomoci EÚ“, ktorým začala jednu z najväčších reforiem v oblasti právnych predpisov pre štátnu pomoc za posledných pätnásť rokov. K 1. júlu 2014 boli prijaté takmer kompletne nové právne predpisy pre štátnu pomoc. Modernizácia pravidiel EÚ v oblasti štátnej pomoci si vyžiada výrazné posilnenie zodpovednosti členských štátov pri posudzovaní súladu opatrení pomoci s novým GBER (nariadenie o skupinových výnimkách). Cieľom Európskej komisie je, aby Slovenská republika posudzovala 90 % z celkového objemu poskytnutej štátnej pomoci ako skupinovú výnimku, t.j. bez predchádzajúcej notifikácie Európskej komisii, pričom Európska komisia bude opatrenia štátnej pomoci kontrolovať prevažne ex-post. </w:t>
      </w:r>
    </w:p>
    <w:p w:rsidR="00E70551" w:rsidRDefault="00E70551" w:rsidP="00E70551">
      <w:r>
        <w:t>V záujme zabezpečenia účinného uplatňovania pravidiel EÚ o štátnej pomoci sa novelou zákona č. 231/1999 Z. z. o štátnej pomoci v znení neskorších predpisov posilní úloha koordinátora štátnej pomoci tak, aby jeho stanoviská a pozície boli záväzné a každý poskytovateľ pomoci pred jej poskytnutím musel predložiť koordinátorovi štátnej pomoci žiadosť o posúdenie pomoci z pohľadu uplatňovania pravidiel štátnej pomoci.</w:t>
      </w:r>
    </w:p>
    <w:p w:rsidR="00E70551" w:rsidRDefault="00E70551" w:rsidP="00E70551">
      <w:r>
        <w:t>S cieľom prehĺbiť vedomosti a vytvoriť predpoklady pre efektívne čerpanie prostriedkov z fondov EÚ koordinátor štátnej pomoci vypracoval stratégiu odbornej prípravy pre nové pravidlá štátnej pomoci a stanovil priority vzdelávania v oblasti štátnej pomoci najmä pre RO a SORO. Lektormi vzdelávania sú aj zástupcovia koordinátora štátnej pomoci. Preto je potrebné zabezpečovať aj vzdelávanie zamestnancov koordinátora štátnej pomoci.</w:t>
      </w:r>
    </w:p>
    <w:p w:rsidR="00E70551" w:rsidRDefault="00E70551" w:rsidP="00E70551">
      <w:r>
        <w:t>Dôležitým bude i zabezpečenie dostatočnej informovanosti medzi poskytovateľmi na všetkých úrovniach ako aj zabezpečovanie všeobecnej informovanosti v oblasti štátnej pomoci.</w:t>
      </w:r>
    </w:p>
    <w:p w:rsidR="00E70551" w:rsidRDefault="00E70551" w:rsidP="00E70551">
      <w:r>
        <w:t xml:space="preserve">Splnenie nových úloh vyplývajúcich pre koordinátora štátnej pomoci z reformy EÚ v oblasti štátnej pomoci, ako aj z Akčného plánu k Partnerskej dohode SR na roky 2014 – 2020 za oblasť štátnej pomoci si vyžaduje navýšenie jeho AK. </w:t>
      </w:r>
    </w:p>
    <w:p w:rsidR="00E70551" w:rsidRDefault="00E70551" w:rsidP="00E70551"/>
    <w:p w:rsidR="00E70551" w:rsidRPr="00354EFD" w:rsidRDefault="00E70551" w:rsidP="00E70551">
      <w:pPr>
        <w:rPr>
          <w:b/>
        </w:rPr>
      </w:pPr>
      <w:r w:rsidRPr="00354EFD">
        <w:rPr>
          <w:b/>
        </w:rPr>
        <w:t>Koordinátor EIA pre EŠIF</w:t>
      </w:r>
    </w:p>
    <w:p w:rsidR="00E70551" w:rsidRDefault="00E70551" w:rsidP="00E70551">
      <w:r w:rsidRPr="00D41994">
        <w:t xml:space="preserve">MŽP SR bude zapojené do procesu overovania súladu projektov s požiadavkami v oblasti posudzovania vplyvov navrhovanej činnosti na životné prostredie ako koordinátor EIA pre EŠIF, a to prostredníctvom útvaru MŽP SR vecne príslušného vo vzťahu k oblasti posudzovania vplyvov na životné prostredie. Uvedené je nevyhnutné vzhľadom na náročnosť problematiky posudzovania vplyvov navrhovaných činností na životné prostredie  a odborný charakter výstupov, ktorých dôsledná kontrola bude potrebná v rámci schvaľovacieho procesu ako aj v priebehu implementácie projektov. Koordinátor EIA pre EŠIF bude v rámci svojej kompetencie metodicky usmerňovať RO pri posudzovaní splnenia podmienok v oblasti posudzovania vplyvov navrhovaných činností na životné prostredie a v problematických prípadoch sa bude priamo na tomto procese podieľať. Koordinátor EIA  pre EŠIF bude zároveň zabezpečovať aj vzdelávacie aktivity pre RO implementujúce oprávnené aktivity spadajúce pod smernicu EIA (najmä príloha I, príloha II) v oblasti posudzovania vplyvov navrhovaných činností (projektov) na životné prostredie. Požiadavka na zabezpečenie funkcie koordinátora EIA pre EŠIF vyplynula zo skúseností z predchádzajúceho </w:t>
      </w:r>
      <w:r>
        <w:t>PO</w:t>
      </w:r>
      <w:r w:rsidRPr="00D41994">
        <w:t>.“</w:t>
      </w:r>
    </w:p>
    <w:p w:rsidR="00E70551" w:rsidRDefault="00E70551" w:rsidP="00E70551"/>
    <w:p w:rsidR="00E70551" w:rsidRPr="00354EFD" w:rsidRDefault="00E70551" w:rsidP="00E70551">
      <w:pPr>
        <w:rPr>
          <w:b/>
        </w:rPr>
      </w:pPr>
      <w:r w:rsidRPr="00354EFD">
        <w:rPr>
          <w:b/>
        </w:rPr>
        <w:t>RO OP TP</w:t>
      </w:r>
    </w:p>
    <w:p w:rsidR="00E70551" w:rsidRDefault="00E70551" w:rsidP="00E70551">
      <w:r>
        <w:t>Na základe materiálu</w:t>
      </w:r>
      <w:r w:rsidRPr="009C66DE">
        <w:t xml:space="preserve"> </w:t>
      </w:r>
      <w:r w:rsidRPr="005A7503">
        <w:rPr>
          <w:i/>
        </w:rPr>
        <w:t xml:space="preserve">Návrh štruktúry operačných programov </w:t>
      </w:r>
      <w:r>
        <w:rPr>
          <w:i/>
        </w:rPr>
        <w:t>financovaných z EŠIF</w:t>
      </w:r>
      <w:r w:rsidRPr="005A7503">
        <w:rPr>
          <w:i/>
        </w:rPr>
        <w:t xml:space="preserve"> 2014–2020</w:t>
      </w:r>
      <w:r>
        <w:t>, schváleného</w:t>
      </w:r>
      <w:r w:rsidRPr="009C66DE">
        <w:t xml:space="preserve"> Radou vlády SR pre prípravu </w:t>
      </w:r>
      <w:r w:rsidRPr="006807B6">
        <w:t>Partnerskej dohody</w:t>
      </w:r>
      <w:r>
        <w:t xml:space="preserve"> SR na roky </w:t>
      </w:r>
      <w:r w:rsidRPr="006807B6">
        <w:t xml:space="preserve">2014-2020 dňa 11. </w:t>
      </w:r>
      <w:r>
        <w:t>0</w:t>
      </w:r>
      <w:r w:rsidRPr="006807B6">
        <w:t>3. 2013 a </w:t>
      </w:r>
      <w:r w:rsidRPr="007C272A">
        <w:t xml:space="preserve">následne vládou SR na jej zasadnutí dňa 20. </w:t>
      </w:r>
      <w:r>
        <w:t>0</w:t>
      </w:r>
      <w:r w:rsidRPr="007C272A">
        <w:t xml:space="preserve">3. 2013, </w:t>
      </w:r>
      <w:r w:rsidRPr="001C5CB3">
        <w:rPr>
          <w:b/>
        </w:rPr>
        <w:t xml:space="preserve">funkciu riadiaceho </w:t>
      </w:r>
      <w:r w:rsidRPr="001C5CB3">
        <w:rPr>
          <w:b/>
        </w:rPr>
        <w:lastRenderedPageBreak/>
        <w:t>orgánu pre operačný program Technická pomoc vykonáva a v rámci toho za koordináciu procesu jeho prípravy</w:t>
      </w:r>
      <w:r>
        <w:rPr>
          <w:b/>
        </w:rPr>
        <w:t xml:space="preserve">, riadenia a implementácie </w:t>
      </w:r>
      <w:r w:rsidRPr="001C5CB3">
        <w:rPr>
          <w:b/>
        </w:rPr>
        <w:t>zodpovedá Úrad vlády SR</w:t>
      </w:r>
      <w:r w:rsidRPr="007C272A">
        <w:t>.</w:t>
      </w:r>
    </w:p>
    <w:p w:rsidR="00DC27E6" w:rsidRDefault="00DC27E6" w:rsidP="00E70551">
      <w:r w:rsidRPr="00DC27E6">
        <w:t xml:space="preserve">V súlade s prijatým zákonom č. 134/2020 Z. z. v znení účinnom </w:t>
      </w:r>
      <w:r w:rsidRPr="009771E9">
        <w:rPr>
          <w:b/>
        </w:rPr>
        <w:t xml:space="preserve">od </w:t>
      </w:r>
      <w:r w:rsidR="00C40346">
        <w:rPr>
          <w:b/>
        </w:rPr>
        <w:t>0</w:t>
      </w:r>
      <w:r w:rsidRPr="009771E9">
        <w:rPr>
          <w:b/>
        </w:rPr>
        <w:t>1.</w:t>
      </w:r>
      <w:r w:rsidR="00DC506E">
        <w:rPr>
          <w:b/>
        </w:rPr>
        <w:t xml:space="preserve"> </w:t>
      </w:r>
      <w:r w:rsidRPr="009771E9">
        <w:rPr>
          <w:b/>
        </w:rPr>
        <w:t>10.</w:t>
      </w:r>
      <w:r w:rsidR="00DC506E">
        <w:rPr>
          <w:b/>
        </w:rPr>
        <w:t xml:space="preserve"> </w:t>
      </w:r>
      <w:r w:rsidRPr="009771E9">
        <w:rPr>
          <w:b/>
        </w:rPr>
        <w:t>2020</w:t>
      </w:r>
      <w:r w:rsidRPr="00DC27E6">
        <w:t xml:space="preserve"> ako aj s uznesením vlády SR č. 355/</w:t>
      </w:r>
      <w:r w:rsidR="00DC506E">
        <w:t>2020 zo dňa 4. 6. 2020 dochádza</w:t>
      </w:r>
      <w:r w:rsidRPr="00DC27E6">
        <w:t xml:space="preserve"> s cieľom optimalizácie implementačnej štruktúry a centralizácie jednotlivých orgánov pri poskytovaní finančných p</w:t>
      </w:r>
      <w:r w:rsidR="00DC506E">
        <w:t>rostriedkov z fondov EÚ</w:t>
      </w:r>
      <w:r w:rsidRPr="00DC27E6">
        <w:t xml:space="preserve"> k presunu kompetencií v oblasti operačného programu Technická </w:t>
      </w:r>
      <w:r>
        <w:t xml:space="preserve">pomoc </w:t>
      </w:r>
      <w:r w:rsidRPr="00DC27E6">
        <w:t>vrátane platobn</w:t>
      </w:r>
      <w:r>
        <w:t>ej</w:t>
      </w:r>
      <w:r w:rsidRPr="00DC27E6">
        <w:t xml:space="preserve"> jednot</w:t>
      </w:r>
      <w:r>
        <w:t>ky na</w:t>
      </w:r>
      <w:r w:rsidRPr="00DC27E6">
        <w:t xml:space="preserve"> </w:t>
      </w:r>
      <w:r>
        <w:t>MIRRI SR.</w:t>
      </w:r>
    </w:p>
    <w:p w:rsidR="00E70551" w:rsidRDefault="00E70551" w:rsidP="00E70551">
      <w:r>
        <w:t>RO OP TP predstavuje o</w:t>
      </w:r>
      <w:r w:rsidRPr="002A3ED9">
        <w:t xml:space="preserve">peračnú úroveň </w:t>
      </w:r>
      <w:r>
        <w:t xml:space="preserve">riadenia OP TP. Úlohou RO OP TP je zabezpečiť všetky administratívne činnosti spojené s implementáciou OP TP, a tým efektívnu podporu najmä pre CKO, CO,OA a pod. ako prijímateľov. </w:t>
      </w:r>
    </w:p>
    <w:p w:rsidR="00F2777A" w:rsidRDefault="00E70551" w:rsidP="00E70551">
      <w:r>
        <w:t>V</w:t>
      </w:r>
      <w:r w:rsidRPr="002A3ED9">
        <w:t>nútorná štruktúra</w:t>
      </w:r>
      <w:r>
        <w:t>,</w:t>
      </w:r>
      <w:r w:rsidRPr="002A3ED9">
        <w:t xml:space="preserve"> a rozdelenie zodpovednosti RO pre OP Technická pomoc budú </w:t>
      </w:r>
      <w:r>
        <w:t xml:space="preserve">detailne </w:t>
      </w:r>
      <w:r w:rsidRPr="002A3ED9">
        <w:t>popísané v opise systémov riadenia a</w:t>
      </w:r>
      <w:r>
        <w:t> </w:t>
      </w:r>
      <w:r w:rsidRPr="002A3ED9">
        <w:t>kontroly</w:t>
      </w:r>
      <w:r>
        <w:t>.</w:t>
      </w:r>
    </w:p>
    <w:sectPr w:rsidR="00F27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40558"/>
    <w:multiLevelType w:val="hybridMultilevel"/>
    <w:tmpl w:val="3F26E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2D2697"/>
    <w:multiLevelType w:val="multilevel"/>
    <w:tmpl w:val="29C4D108"/>
    <w:lvl w:ilvl="0">
      <w:start w:val="1"/>
      <w:numFmt w:val="bullet"/>
      <w:lvlText w:val=""/>
      <w:lvlJc w:val="left"/>
      <w:pPr>
        <w:tabs>
          <w:tab w:val="num" w:pos="1020"/>
        </w:tabs>
        <w:ind w:left="1020" w:hanging="340"/>
      </w:pPr>
      <w:rPr>
        <w:rFonts w:ascii="Symbol" w:hAnsi="Symbol" w:hint="default"/>
      </w:rPr>
    </w:lvl>
    <w:lvl w:ilvl="1">
      <w:start w:val="1"/>
      <w:numFmt w:val="bullet"/>
      <w:lvlText w:val=""/>
      <w:lvlJc w:val="left"/>
      <w:pPr>
        <w:tabs>
          <w:tab w:val="num" w:pos="1360"/>
        </w:tabs>
        <w:ind w:left="1360" w:hanging="340"/>
      </w:pPr>
      <w:rPr>
        <w:rFonts w:ascii="Symbol" w:hAnsi="Symbol" w:hint="default"/>
        <w:sz w:val="22"/>
      </w:rPr>
    </w:lvl>
    <w:lvl w:ilvl="2">
      <w:start w:val="1"/>
      <w:numFmt w:val="bullet"/>
      <w:lvlText w:val="-"/>
      <w:lvlJc w:val="left"/>
      <w:pPr>
        <w:tabs>
          <w:tab w:val="num" w:pos="1700"/>
        </w:tabs>
        <w:ind w:left="1700" w:hanging="340"/>
      </w:pPr>
      <w:rPr>
        <w:rFonts w:ascii="9999999" w:hAnsi="9999999" w:hint="default"/>
      </w:rPr>
    </w:lvl>
    <w:lvl w:ilvl="3">
      <w:start w:val="1"/>
      <w:numFmt w:val="bullet"/>
      <w:lvlText w:val=""/>
      <w:lvlJc w:val="left"/>
      <w:pPr>
        <w:tabs>
          <w:tab w:val="num" w:pos="2041"/>
        </w:tabs>
        <w:ind w:left="2041" w:hanging="341"/>
      </w:pPr>
      <w:rPr>
        <w:rFonts w:ascii="Symbol" w:hAnsi="Symbol" w:hint="default"/>
        <w:sz w:val="22"/>
      </w:rPr>
    </w:lvl>
    <w:lvl w:ilvl="4">
      <w:start w:val="1"/>
      <w:numFmt w:val="bullet"/>
      <w:lvlText w:val=""/>
      <w:lvlJc w:val="left"/>
      <w:pPr>
        <w:tabs>
          <w:tab w:val="num" w:pos="2381"/>
        </w:tabs>
        <w:ind w:left="2381" w:hanging="340"/>
      </w:pPr>
      <w:rPr>
        <w:rFonts w:ascii="Symbol" w:hAnsi="Symbol" w:hint="default"/>
      </w:rPr>
    </w:lvl>
    <w:lvl w:ilvl="5">
      <w:start w:val="1"/>
      <w:numFmt w:val="bullet"/>
      <w:lvlText w:val=""/>
      <w:lvlJc w:val="left"/>
      <w:pPr>
        <w:tabs>
          <w:tab w:val="num" w:pos="2721"/>
        </w:tabs>
        <w:ind w:left="2721" w:hanging="340"/>
      </w:pPr>
      <w:rPr>
        <w:rFonts w:ascii="Wingdings" w:hAnsi="Wingdings" w:hint="default"/>
      </w:rPr>
    </w:lvl>
    <w:lvl w:ilvl="6">
      <w:start w:val="1"/>
      <w:numFmt w:val="bullet"/>
      <w:lvlText w:val=""/>
      <w:lvlJc w:val="left"/>
      <w:pPr>
        <w:tabs>
          <w:tab w:val="num" w:pos="3061"/>
        </w:tabs>
        <w:ind w:left="3061" w:hanging="340"/>
      </w:pPr>
      <w:rPr>
        <w:rFonts w:ascii="Wingdings" w:hAnsi="Wingdings" w:hint="default"/>
      </w:rPr>
    </w:lvl>
    <w:lvl w:ilvl="7">
      <w:start w:val="1"/>
      <w:numFmt w:val="bullet"/>
      <w:lvlText w:val=""/>
      <w:lvlJc w:val="left"/>
      <w:pPr>
        <w:tabs>
          <w:tab w:val="num" w:pos="3401"/>
        </w:tabs>
        <w:ind w:left="3401" w:hanging="340"/>
      </w:pPr>
      <w:rPr>
        <w:rFonts w:ascii="Symbol" w:hAnsi="Symbol" w:hint="default"/>
      </w:rPr>
    </w:lvl>
    <w:lvl w:ilvl="8">
      <w:start w:val="1"/>
      <w:numFmt w:val="bullet"/>
      <w:lvlText w:val=""/>
      <w:lvlJc w:val="left"/>
      <w:pPr>
        <w:tabs>
          <w:tab w:val="num" w:pos="3741"/>
        </w:tabs>
        <w:ind w:left="3741" w:hanging="340"/>
      </w:pPr>
      <w:rPr>
        <w:rFonts w:ascii="Symbol" w:hAnsi="Symbol" w:hint="default"/>
      </w:rPr>
    </w:lvl>
  </w:abstractNum>
  <w:abstractNum w:abstractNumId="2">
    <w:nsid w:val="297E7256"/>
    <w:multiLevelType w:val="multilevel"/>
    <w:tmpl w:val="29C4D108"/>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
    <w:nsid w:val="545B7BCE"/>
    <w:multiLevelType w:val="multilevel"/>
    <w:tmpl w:val="29C4D108"/>
    <w:lvl w:ilvl="0">
      <w:start w:val="1"/>
      <w:numFmt w:val="bullet"/>
      <w:lvlText w:val=""/>
      <w:lvlJc w:val="left"/>
      <w:pPr>
        <w:tabs>
          <w:tab w:val="num" w:pos="680"/>
        </w:tabs>
        <w:ind w:left="680" w:hanging="340"/>
      </w:pPr>
      <w:rPr>
        <w:rFonts w:ascii="Symbol" w:hAnsi="Symbol" w:hint="default"/>
      </w:rPr>
    </w:lvl>
    <w:lvl w:ilvl="1">
      <w:start w:val="1"/>
      <w:numFmt w:val="bullet"/>
      <w:lvlText w:val=""/>
      <w:lvlJc w:val="left"/>
      <w:pPr>
        <w:tabs>
          <w:tab w:val="num" w:pos="1020"/>
        </w:tabs>
        <w:ind w:left="1020" w:hanging="340"/>
      </w:pPr>
      <w:rPr>
        <w:rFonts w:ascii="Symbol" w:hAnsi="Symbol" w:hint="default"/>
        <w:sz w:val="22"/>
      </w:rPr>
    </w:lvl>
    <w:lvl w:ilvl="2">
      <w:start w:val="1"/>
      <w:numFmt w:val="bullet"/>
      <w:lvlText w:val="-"/>
      <w:lvlJc w:val="left"/>
      <w:pPr>
        <w:tabs>
          <w:tab w:val="num" w:pos="1360"/>
        </w:tabs>
        <w:ind w:left="1360" w:hanging="340"/>
      </w:pPr>
      <w:rPr>
        <w:rFonts w:ascii="9999999" w:hAnsi="9999999" w:hint="default"/>
      </w:rPr>
    </w:lvl>
    <w:lvl w:ilvl="3">
      <w:start w:val="1"/>
      <w:numFmt w:val="bullet"/>
      <w:lvlText w:val=""/>
      <w:lvlJc w:val="left"/>
      <w:pPr>
        <w:tabs>
          <w:tab w:val="num" w:pos="1701"/>
        </w:tabs>
        <w:ind w:left="1701" w:hanging="341"/>
      </w:pPr>
      <w:rPr>
        <w:rFonts w:ascii="Symbol" w:hAnsi="Symbol" w:hint="default"/>
        <w:sz w:val="22"/>
      </w:rPr>
    </w:lvl>
    <w:lvl w:ilvl="4">
      <w:start w:val="1"/>
      <w:numFmt w:val="bullet"/>
      <w:lvlText w:val=""/>
      <w:lvlJc w:val="left"/>
      <w:pPr>
        <w:tabs>
          <w:tab w:val="num" w:pos="2041"/>
        </w:tabs>
        <w:ind w:left="2041" w:hanging="340"/>
      </w:pPr>
      <w:rPr>
        <w:rFonts w:ascii="Symbol" w:hAnsi="Symbol" w:hint="default"/>
      </w:rPr>
    </w:lvl>
    <w:lvl w:ilvl="5">
      <w:start w:val="1"/>
      <w:numFmt w:val="bullet"/>
      <w:lvlText w:val=""/>
      <w:lvlJc w:val="left"/>
      <w:pPr>
        <w:tabs>
          <w:tab w:val="num" w:pos="2381"/>
        </w:tabs>
        <w:ind w:left="2381" w:hanging="340"/>
      </w:pPr>
      <w:rPr>
        <w:rFonts w:ascii="Wingdings" w:hAnsi="Wingdings" w:hint="default"/>
      </w:rPr>
    </w:lvl>
    <w:lvl w:ilvl="6">
      <w:start w:val="1"/>
      <w:numFmt w:val="bullet"/>
      <w:lvlText w:val=""/>
      <w:lvlJc w:val="left"/>
      <w:pPr>
        <w:tabs>
          <w:tab w:val="num" w:pos="2721"/>
        </w:tabs>
        <w:ind w:left="2721" w:hanging="340"/>
      </w:pPr>
      <w:rPr>
        <w:rFonts w:ascii="Wingdings" w:hAnsi="Wingdings" w:hint="default"/>
      </w:rPr>
    </w:lvl>
    <w:lvl w:ilvl="7">
      <w:start w:val="1"/>
      <w:numFmt w:val="bullet"/>
      <w:lvlText w:val=""/>
      <w:lvlJc w:val="left"/>
      <w:pPr>
        <w:tabs>
          <w:tab w:val="num" w:pos="3061"/>
        </w:tabs>
        <w:ind w:left="3061" w:hanging="340"/>
      </w:pPr>
      <w:rPr>
        <w:rFonts w:ascii="Symbol" w:hAnsi="Symbol" w:hint="default"/>
      </w:rPr>
    </w:lvl>
    <w:lvl w:ilvl="8">
      <w:start w:val="1"/>
      <w:numFmt w:val="bullet"/>
      <w:lvlText w:val=""/>
      <w:lvlJc w:val="left"/>
      <w:pPr>
        <w:tabs>
          <w:tab w:val="num" w:pos="3401"/>
        </w:tabs>
        <w:ind w:left="3401" w:hanging="340"/>
      </w:pPr>
      <w:rPr>
        <w:rFonts w:ascii="Symbol" w:hAnsi="Symbol" w:hint="default"/>
      </w:rPr>
    </w:lvl>
  </w:abstractNum>
  <w:abstractNum w:abstractNumId="4">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551"/>
    <w:rsid w:val="00011EFF"/>
    <w:rsid w:val="001E6899"/>
    <w:rsid w:val="00324BDB"/>
    <w:rsid w:val="00374C52"/>
    <w:rsid w:val="004F07C9"/>
    <w:rsid w:val="00686C5A"/>
    <w:rsid w:val="00937598"/>
    <w:rsid w:val="009771E9"/>
    <w:rsid w:val="009B0EFE"/>
    <w:rsid w:val="009B2370"/>
    <w:rsid w:val="00A83644"/>
    <w:rsid w:val="00C37365"/>
    <w:rsid w:val="00C40346"/>
    <w:rsid w:val="00DC27E6"/>
    <w:rsid w:val="00DC506E"/>
    <w:rsid w:val="00DE5895"/>
    <w:rsid w:val="00E70551"/>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0551"/>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E70551"/>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E70551"/>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E70551"/>
    <w:pPr>
      <w:ind w:left="720"/>
      <w:contextualSpacing/>
    </w:pPr>
  </w:style>
  <w:style w:type="character" w:customStyle="1" w:styleId="OdsekzoznamuChar">
    <w:name w:val="Odsek zoznamu Char"/>
    <w:aliases w:val="body Char,Odsek zoznamu2 Char,List Paragraph Char"/>
    <w:link w:val="Odsekzoznamu"/>
    <w:uiPriority w:val="34"/>
    <w:locked/>
    <w:rsid w:val="00E70551"/>
    <w:rPr>
      <w:rFonts w:ascii="Times New Roman" w:eastAsia="Calibri" w:hAnsi="Times New Roman" w:cs="Times New Roman"/>
      <w:sz w:val="24"/>
    </w:rPr>
  </w:style>
  <w:style w:type="paragraph" w:styleId="Zkladntext">
    <w:name w:val="Body Text"/>
    <w:basedOn w:val="Normlny"/>
    <w:link w:val="ZkladntextChar"/>
    <w:uiPriority w:val="99"/>
    <w:unhideWhenUsed/>
    <w:qFormat/>
    <w:rsid w:val="00E70551"/>
  </w:style>
  <w:style w:type="character" w:customStyle="1" w:styleId="ZkladntextChar">
    <w:name w:val="Základný text Char"/>
    <w:basedOn w:val="Predvolenpsmoodseku"/>
    <w:link w:val="Zkladntext"/>
    <w:uiPriority w:val="99"/>
    <w:rsid w:val="00E70551"/>
    <w:rPr>
      <w:rFonts w:ascii="Times New Roman" w:eastAsia="Calibri" w:hAnsi="Times New Roman" w:cs="Times New Roman"/>
      <w:sz w:val="24"/>
    </w:rPr>
  </w:style>
  <w:style w:type="paragraph" w:styleId="Textbubliny">
    <w:name w:val="Balloon Text"/>
    <w:basedOn w:val="Normlny"/>
    <w:link w:val="TextbublinyChar"/>
    <w:uiPriority w:val="99"/>
    <w:semiHidden/>
    <w:unhideWhenUsed/>
    <w:rsid w:val="004F07C9"/>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4F07C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0551"/>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E70551"/>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E70551"/>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E70551"/>
    <w:pPr>
      <w:ind w:left="720"/>
      <w:contextualSpacing/>
    </w:pPr>
  </w:style>
  <w:style w:type="character" w:customStyle="1" w:styleId="OdsekzoznamuChar">
    <w:name w:val="Odsek zoznamu Char"/>
    <w:aliases w:val="body Char,Odsek zoznamu2 Char,List Paragraph Char"/>
    <w:link w:val="Odsekzoznamu"/>
    <w:uiPriority w:val="34"/>
    <w:locked/>
    <w:rsid w:val="00E70551"/>
    <w:rPr>
      <w:rFonts w:ascii="Times New Roman" w:eastAsia="Calibri" w:hAnsi="Times New Roman" w:cs="Times New Roman"/>
      <w:sz w:val="24"/>
    </w:rPr>
  </w:style>
  <w:style w:type="paragraph" w:styleId="Zkladntext">
    <w:name w:val="Body Text"/>
    <w:basedOn w:val="Normlny"/>
    <w:link w:val="ZkladntextChar"/>
    <w:uiPriority w:val="99"/>
    <w:unhideWhenUsed/>
    <w:qFormat/>
    <w:rsid w:val="00E70551"/>
  </w:style>
  <w:style w:type="character" w:customStyle="1" w:styleId="ZkladntextChar">
    <w:name w:val="Základný text Char"/>
    <w:basedOn w:val="Predvolenpsmoodseku"/>
    <w:link w:val="Zkladntext"/>
    <w:uiPriority w:val="99"/>
    <w:rsid w:val="00E70551"/>
    <w:rPr>
      <w:rFonts w:ascii="Times New Roman" w:eastAsia="Calibri" w:hAnsi="Times New Roman" w:cs="Times New Roman"/>
      <w:sz w:val="24"/>
    </w:rPr>
  </w:style>
  <w:style w:type="paragraph" w:styleId="Textbubliny">
    <w:name w:val="Balloon Text"/>
    <w:basedOn w:val="Normlny"/>
    <w:link w:val="TextbublinyChar"/>
    <w:uiPriority w:val="99"/>
    <w:semiHidden/>
    <w:unhideWhenUsed/>
    <w:rsid w:val="004F07C9"/>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4F07C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3591</Words>
  <Characters>20472</Characters>
  <Application>Microsoft Office Word</Application>
  <DocSecurity>0</DocSecurity>
  <Lines>170</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11</cp:revision>
  <dcterms:created xsi:type="dcterms:W3CDTF">2016-05-16T08:25:00Z</dcterms:created>
  <dcterms:modified xsi:type="dcterms:W3CDTF">2020-08-27T09:24:00Z</dcterms:modified>
</cp:coreProperties>
</file>