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E9B" w:rsidRDefault="00D06E9B" w:rsidP="00F11889">
      <w:pPr>
        <w:rPr>
          <w:rFonts w:asciiTheme="minorHAnsi" w:hAnsiTheme="minorHAnsi"/>
          <w:b/>
        </w:rPr>
      </w:pPr>
    </w:p>
    <w:p w:rsidR="00D06E9B" w:rsidRPr="000C2E0A" w:rsidRDefault="00D06E9B">
      <w:pPr>
        <w:rPr>
          <w:rFonts w:asciiTheme="minorHAnsi" w:hAnsiTheme="minorHAnsi"/>
        </w:rPr>
      </w:pPr>
    </w:p>
    <w:p w:rsidR="00D06E9B" w:rsidRPr="000C2E0A" w:rsidRDefault="00D06E9B">
      <w:pPr>
        <w:rPr>
          <w:rFonts w:asciiTheme="minorHAnsi" w:hAnsiTheme="minorHAnsi"/>
        </w:rPr>
      </w:pPr>
    </w:p>
    <w:p w:rsidR="00D06E9B" w:rsidRPr="000C2E0A" w:rsidRDefault="00D06E9B">
      <w:pPr>
        <w:rPr>
          <w:rFonts w:asciiTheme="minorHAnsi" w:hAnsiTheme="minorHAnsi"/>
        </w:rPr>
      </w:pPr>
    </w:p>
    <w:p w:rsidR="00D06E9B" w:rsidRPr="008D12BB" w:rsidRDefault="00D06E9B" w:rsidP="00D06E9B">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 xml:space="preserve">Úrad vlády SR </w:t>
      </w:r>
    </w:p>
    <w:p w:rsidR="00D06E9B" w:rsidRPr="008D12BB" w:rsidRDefault="00D06E9B" w:rsidP="00D06E9B">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SEKCIA OPERAČNÝCH PROGRAMOV</w:t>
      </w:r>
    </w:p>
    <w:p w:rsidR="00D06E9B" w:rsidRPr="008D12BB" w:rsidRDefault="00D06E9B" w:rsidP="00D06E9B">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p>
    <w:p w:rsidR="00D06E9B" w:rsidRDefault="00D06E9B" w:rsidP="00D06E9B">
      <w:pPr>
        <w:jc w:val="center"/>
      </w:pPr>
    </w:p>
    <w:p w:rsidR="00D06E9B" w:rsidRDefault="00D06E9B" w:rsidP="00D06E9B">
      <w:pPr>
        <w:jc w:val="center"/>
      </w:pPr>
    </w:p>
    <w:p w:rsidR="00D06E9B" w:rsidRPr="00FC0BBD" w:rsidRDefault="00D06E9B" w:rsidP="00D06E9B">
      <w:pPr>
        <w:jc w:val="center"/>
        <w:rPr>
          <w:rFonts w:asciiTheme="minorHAnsi" w:hAnsiTheme="minorHAnsi" w:cstheme="minorHAnsi"/>
          <w:sz w:val="36"/>
          <w:szCs w:val="36"/>
          <w:lang w:eastAsia="sk-SK"/>
        </w:rPr>
      </w:pPr>
    </w:p>
    <w:p w:rsidR="00D06E9B" w:rsidRPr="00EF103E" w:rsidRDefault="00D06E9B" w:rsidP="00D06E9B">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odborného hodnotiteľa</w:t>
      </w:r>
      <w:r w:rsidRPr="00EF103E">
        <w:rPr>
          <w:rFonts w:asciiTheme="minorHAnsi" w:hAnsiTheme="minorHAnsi" w:cstheme="minorHAnsi"/>
          <w:b/>
          <w:spacing w:val="-16"/>
          <w:sz w:val="40"/>
          <w:szCs w:val="40"/>
          <w:lang w:eastAsia="sk-SK"/>
        </w:rPr>
        <w:t xml:space="preserve"> </w:t>
      </w:r>
    </w:p>
    <w:p w:rsidR="00D06E9B" w:rsidRPr="00FC0BBD" w:rsidRDefault="00D06E9B" w:rsidP="00D06E9B">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 xml:space="preserve">pre </w:t>
      </w:r>
      <w:r w:rsidRPr="00FC0BBD">
        <w:rPr>
          <w:rFonts w:asciiTheme="minorHAnsi" w:hAnsiTheme="minorHAnsi" w:cstheme="minorHAnsi"/>
          <w:bCs/>
          <w:sz w:val="28"/>
          <w:szCs w:val="28"/>
          <w:lang w:eastAsia="sk-SK"/>
        </w:rPr>
        <w:t>operačn</w:t>
      </w:r>
      <w:r>
        <w:rPr>
          <w:rFonts w:asciiTheme="minorHAnsi" w:hAnsiTheme="minorHAnsi" w:cstheme="minorHAnsi"/>
          <w:bCs/>
          <w:sz w:val="28"/>
          <w:szCs w:val="28"/>
          <w:lang w:eastAsia="sk-SK"/>
        </w:rPr>
        <w:t>ý</w:t>
      </w:r>
      <w:r w:rsidRPr="00FC0BBD">
        <w:rPr>
          <w:rFonts w:asciiTheme="minorHAnsi" w:hAnsiTheme="minorHAnsi" w:cstheme="minorHAnsi"/>
          <w:bCs/>
          <w:sz w:val="28"/>
          <w:szCs w:val="28"/>
          <w:lang w:eastAsia="sk-SK"/>
        </w:rPr>
        <w:t xml:space="preserve"> program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p>
    <w:p w:rsidR="00D06E9B" w:rsidRDefault="00D06E9B" w:rsidP="00D06E9B">
      <w:pPr>
        <w:rPr>
          <w:rFonts w:asciiTheme="minorHAnsi" w:hAnsiTheme="minorHAnsi" w:cstheme="minorHAnsi"/>
          <w:lang w:eastAsia="sk-SK"/>
        </w:rPr>
      </w:pPr>
    </w:p>
    <w:p w:rsidR="00D06E9B" w:rsidRPr="00FC0BBD" w:rsidRDefault="00D06E9B" w:rsidP="00D06E9B">
      <w:pPr>
        <w:rPr>
          <w:rFonts w:asciiTheme="minorHAnsi" w:hAnsiTheme="minorHAnsi" w:cstheme="minorHAnsi"/>
          <w:lang w:eastAsia="sk-SK"/>
        </w:rPr>
      </w:pPr>
    </w:p>
    <w:p w:rsidR="00D06E9B" w:rsidRPr="00FC0BBD" w:rsidRDefault="00D06E9B" w:rsidP="00D06E9B">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del w:id="0" w:author="Autor">
        <w:r w:rsidDel="00121C98">
          <w:rPr>
            <w:rFonts w:asciiTheme="minorHAnsi" w:hAnsiTheme="minorHAnsi" w:cstheme="minorHAnsi"/>
            <w:b/>
            <w:lang w:eastAsia="sk-SK"/>
          </w:rPr>
          <w:delText>8</w:delText>
        </w:r>
      </w:del>
      <w:ins w:id="1" w:author="Autor">
        <w:r w:rsidR="00121C98">
          <w:rPr>
            <w:rFonts w:asciiTheme="minorHAnsi" w:hAnsiTheme="minorHAnsi" w:cstheme="minorHAnsi"/>
            <w:b/>
            <w:lang w:eastAsia="sk-SK"/>
          </w:rPr>
          <w:t>9</w:t>
        </w:r>
      </w:ins>
      <w:r>
        <w:rPr>
          <w:rFonts w:asciiTheme="minorHAnsi" w:hAnsiTheme="minorHAnsi" w:cstheme="minorHAnsi"/>
          <w:b/>
          <w:lang w:eastAsia="sk-SK"/>
        </w:rPr>
        <w:t>.0</w:t>
      </w:r>
    </w:p>
    <w:p w:rsidR="00D06E9B" w:rsidRPr="00FC0BBD" w:rsidRDefault="00D06E9B" w:rsidP="00D06E9B">
      <w:pPr>
        <w:rPr>
          <w:rFonts w:asciiTheme="minorHAnsi" w:hAnsiTheme="minorHAnsi" w:cstheme="minorHAnsi"/>
          <w:lang w:eastAsia="sk-SK"/>
        </w:rPr>
      </w:pPr>
    </w:p>
    <w:p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Pr="00FC0BBD">
        <w:rPr>
          <w:rFonts w:asciiTheme="minorHAnsi" w:hAnsiTheme="minorHAnsi" w:cstheme="minorHAnsi"/>
          <w:lang w:eastAsia="sk-SK"/>
        </w:rPr>
        <w:tab/>
      </w:r>
      <w:del w:id="2" w:author="Autor">
        <w:r w:rsidDel="00FD5B77">
          <w:rPr>
            <w:rFonts w:asciiTheme="minorHAnsi" w:hAnsiTheme="minorHAnsi" w:cstheme="minorHAnsi"/>
            <w:b/>
            <w:lang w:eastAsia="sk-SK"/>
          </w:rPr>
          <w:delText>13</w:delText>
        </w:r>
      </w:del>
      <w:ins w:id="3" w:author="Autor">
        <w:r w:rsidR="00FD5B77">
          <w:rPr>
            <w:rFonts w:asciiTheme="minorHAnsi" w:hAnsiTheme="minorHAnsi" w:cstheme="minorHAnsi"/>
            <w:b/>
            <w:lang w:eastAsia="sk-SK"/>
          </w:rPr>
          <w:t>29</w:t>
        </w:r>
      </w:ins>
      <w:r>
        <w:rPr>
          <w:rFonts w:asciiTheme="minorHAnsi" w:hAnsiTheme="minorHAnsi" w:cstheme="minorHAnsi"/>
          <w:b/>
          <w:lang w:eastAsia="sk-SK"/>
        </w:rPr>
        <w:t xml:space="preserve">. </w:t>
      </w:r>
      <w:del w:id="4" w:author="Autor">
        <w:r w:rsidDel="00FD5B77">
          <w:rPr>
            <w:rFonts w:asciiTheme="minorHAnsi" w:hAnsiTheme="minorHAnsi" w:cstheme="minorHAnsi"/>
            <w:b/>
            <w:lang w:eastAsia="sk-SK"/>
          </w:rPr>
          <w:delText>12</w:delText>
        </w:r>
      </w:del>
      <w:ins w:id="5" w:author="Autor">
        <w:r w:rsidR="00FD5B77">
          <w:rPr>
            <w:rFonts w:asciiTheme="minorHAnsi" w:hAnsiTheme="minorHAnsi" w:cstheme="minorHAnsi"/>
            <w:b/>
            <w:lang w:eastAsia="sk-SK"/>
          </w:rPr>
          <w:t>9</w:t>
        </w:r>
      </w:ins>
      <w:r>
        <w:rPr>
          <w:rFonts w:asciiTheme="minorHAnsi" w:hAnsiTheme="minorHAnsi" w:cstheme="minorHAnsi"/>
          <w:b/>
          <w:lang w:eastAsia="sk-SK"/>
        </w:rPr>
        <w:t xml:space="preserve">. </w:t>
      </w:r>
      <w:del w:id="6" w:author="Autor">
        <w:r w:rsidDel="00FD5B77">
          <w:rPr>
            <w:rFonts w:asciiTheme="minorHAnsi" w:hAnsiTheme="minorHAnsi" w:cstheme="minorHAnsi"/>
            <w:b/>
            <w:lang w:eastAsia="sk-SK"/>
          </w:rPr>
          <w:delText>2018</w:delText>
        </w:r>
      </w:del>
      <w:ins w:id="7" w:author="Autor">
        <w:r w:rsidR="00FD5B77">
          <w:rPr>
            <w:rFonts w:asciiTheme="minorHAnsi" w:hAnsiTheme="minorHAnsi" w:cstheme="minorHAnsi"/>
            <w:b/>
            <w:lang w:eastAsia="sk-SK"/>
          </w:rPr>
          <w:t>2020</w:t>
        </w:r>
      </w:ins>
    </w:p>
    <w:p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lang w:eastAsia="sk-SK"/>
        </w:rPr>
      </w:pPr>
    </w:p>
    <w:p w:rsidR="00D06E9B" w:rsidRPr="00FC0BBD" w:rsidRDefault="00D06E9B" w:rsidP="00D06E9B">
      <w:pPr>
        <w:rPr>
          <w:rFonts w:asciiTheme="minorHAnsi" w:hAnsiTheme="minorHAnsi" w:cstheme="minorHAnsi"/>
          <w:b/>
          <w:szCs w:val="22"/>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D06E9B" w:rsidTr="00106D97">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06E9B" w:rsidRDefault="00D06E9B" w:rsidP="00106D9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Podpis</w:t>
            </w:r>
          </w:p>
        </w:tc>
      </w:tr>
      <w:tr w:rsidR="00D06E9B" w:rsidTr="00106D97">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Vypracoval</w:t>
            </w:r>
          </w:p>
        </w:tc>
        <w:tc>
          <w:tcPr>
            <w:tcW w:w="2726" w:type="dxa"/>
            <w:tcBorders>
              <w:top w:val="nil"/>
              <w:left w:val="nil"/>
              <w:bottom w:val="single" w:sz="4" w:space="0" w:color="auto"/>
              <w:right w:val="single" w:sz="4" w:space="0" w:color="auto"/>
            </w:tcBorders>
            <w:vAlign w:val="center"/>
            <w:hideMark/>
          </w:tcPr>
          <w:p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Eva Kunská</w:t>
            </w:r>
          </w:p>
        </w:tc>
        <w:tc>
          <w:tcPr>
            <w:tcW w:w="1983" w:type="dxa"/>
            <w:tcBorders>
              <w:top w:val="nil"/>
              <w:left w:val="nil"/>
              <w:bottom w:val="single" w:sz="4" w:space="0" w:color="auto"/>
              <w:right w:val="single" w:sz="4" w:space="0" w:color="auto"/>
            </w:tcBorders>
            <w:vAlign w:val="center"/>
            <w:hideMark/>
          </w:tcPr>
          <w:p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manažér pre metodiku</w:t>
            </w:r>
          </w:p>
        </w:tc>
        <w:tc>
          <w:tcPr>
            <w:tcW w:w="1276" w:type="dxa"/>
            <w:tcBorders>
              <w:top w:val="nil"/>
              <w:left w:val="nil"/>
              <w:bottom w:val="single" w:sz="4" w:space="0" w:color="auto"/>
              <w:right w:val="nil"/>
            </w:tcBorders>
            <w:vAlign w:val="center"/>
            <w:hideMark/>
          </w:tcPr>
          <w:p w:rsidR="00D06E9B" w:rsidRDefault="00FD5B77" w:rsidP="00FD5B7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23</w:t>
            </w:r>
            <w:r w:rsidR="00D06E9B">
              <w:rPr>
                <w:rFonts w:asciiTheme="minorHAnsi" w:hAnsiTheme="minorHAnsi" w:cstheme="minorHAnsi"/>
                <w:color w:val="000000"/>
                <w:szCs w:val="22"/>
                <w:lang w:eastAsia="sk-SK"/>
              </w:rPr>
              <w:t xml:space="preserve">. </w:t>
            </w:r>
            <w:r>
              <w:rPr>
                <w:rFonts w:asciiTheme="minorHAnsi" w:hAnsiTheme="minorHAnsi" w:cstheme="minorHAnsi"/>
                <w:color w:val="000000"/>
                <w:szCs w:val="22"/>
                <w:lang w:eastAsia="sk-SK"/>
              </w:rPr>
              <w:t>9</w:t>
            </w:r>
            <w:r w:rsidR="00D06E9B">
              <w:rPr>
                <w:rFonts w:asciiTheme="minorHAnsi" w:hAnsiTheme="minorHAnsi" w:cstheme="minorHAnsi"/>
                <w:color w:val="000000"/>
                <w:szCs w:val="22"/>
                <w:lang w:eastAsia="sk-SK"/>
              </w:rPr>
              <w:t xml:space="preserve">. </w:t>
            </w:r>
            <w:r>
              <w:rPr>
                <w:rFonts w:asciiTheme="minorHAnsi" w:hAnsiTheme="minorHAnsi" w:cstheme="minorHAnsi"/>
                <w:color w:val="000000"/>
                <w:szCs w:val="22"/>
                <w:lang w:eastAsia="sk-SK"/>
              </w:rPr>
              <w:t>2020</w:t>
            </w:r>
          </w:p>
        </w:tc>
        <w:tc>
          <w:tcPr>
            <w:tcW w:w="1881" w:type="dxa"/>
            <w:tcBorders>
              <w:top w:val="nil"/>
              <w:left w:val="single" w:sz="4" w:space="0" w:color="auto"/>
              <w:bottom w:val="single" w:sz="4" w:space="0" w:color="auto"/>
              <w:right w:val="single" w:sz="8" w:space="0" w:color="auto"/>
            </w:tcBorders>
            <w:noWrap/>
            <w:vAlign w:val="center"/>
            <w:hideMark/>
          </w:tcPr>
          <w:p w:rsidR="00D06E9B" w:rsidRPr="000C2E0A"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Cs w:val="22"/>
                <w:lang w:eastAsia="sk-SK"/>
              </w:rPr>
              <w:t> </w:t>
            </w:r>
            <w:r w:rsidRPr="000C2E0A">
              <w:rPr>
                <w:rFonts w:asciiTheme="minorHAnsi" w:hAnsiTheme="minorHAnsi" w:cstheme="minorHAnsi"/>
                <w:color w:val="000000"/>
                <w:sz w:val="20"/>
                <w:lang w:eastAsia="sk-SK"/>
              </w:rPr>
              <w:t>overila</w:t>
            </w:r>
          </w:p>
        </w:tc>
      </w:tr>
      <w:tr w:rsidR="00D06E9B" w:rsidTr="00106D97">
        <w:trPr>
          <w:trHeight w:val="450"/>
          <w:jc w:val="center"/>
        </w:trPr>
        <w:tc>
          <w:tcPr>
            <w:tcW w:w="0" w:type="auto"/>
            <w:vMerge/>
            <w:tcBorders>
              <w:top w:val="nil"/>
              <w:left w:val="single" w:sz="8" w:space="0" w:color="auto"/>
              <w:bottom w:val="nil"/>
              <w:right w:val="single" w:sz="8" w:space="0" w:color="auto"/>
            </w:tcBorders>
            <w:vAlign w:val="center"/>
            <w:hideMark/>
          </w:tcPr>
          <w:p w:rsidR="00D06E9B" w:rsidRDefault="00D06E9B" w:rsidP="00106D97">
            <w:pPr>
              <w:rPr>
                <w:rFonts w:asciiTheme="minorHAnsi" w:hAnsiTheme="minorHAnsi" w:cstheme="minorHAnsi"/>
                <w:b/>
                <w:bCs/>
                <w:color w:val="000000"/>
                <w:sz w:val="20"/>
                <w:lang w:eastAsia="sk-SK"/>
              </w:rPr>
            </w:pPr>
          </w:p>
        </w:tc>
        <w:tc>
          <w:tcPr>
            <w:tcW w:w="2726" w:type="dxa"/>
            <w:tcBorders>
              <w:top w:val="nil"/>
              <w:left w:val="nil"/>
              <w:bottom w:val="single" w:sz="4" w:space="0" w:color="auto"/>
              <w:right w:val="single" w:sz="4" w:space="0" w:color="auto"/>
            </w:tcBorders>
            <w:vAlign w:val="center"/>
            <w:hideMark/>
          </w:tcPr>
          <w:p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Monika Zaťková</w:t>
            </w:r>
          </w:p>
        </w:tc>
        <w:tc>
          <w:tcPr>
            <w:tcW w:w="1983" w:type="dxa"/>
            <w:tcBorders>
              <w:top w:val="nil"/>
              <w:left w:val="nil"/>
              <w:bottom w:val="single" w:sz="4" w:space="0" w:color="auto"/>
              <w:right w:val="single" w:sz="4" w:space="0" w:color="auto"/>
            </w:tcBorders>
            <w:vAlign w:val="center"/>
            <w:hideMark/>
          </w:tcPr>
          <w:p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manažér pre metodiku</w:t>
            </w:r>
          </w:p>
        </w:tc>
        <w:tc>
          <w:tcPr>
            <w:tcW w:w="1276" w:type="dxa"/>
            <w:tcBorders>
              <w:top w:val="nil"/>
              <w:left w:val="nil"/>
              <w:bottom w:val="single" w:sz="4" w:space="0" w:color="auto"/>
              <w:right w:val="nil"/>
            </w:tcBorders>
            <w:hideMark/>
          </w:tcPr>
          <w:p w:rsidR="00D06E9B" w:rsidRDefault="00FD5B77" w:rsidP="00106D97">
            <w:r>
              <w:rPr>
                <w:rFonts w:asciiTheme="minorHAnsi" w:hAnsiTheme="minorHAnsi" w:cstheme="minorHAnsi"/>
                <w:color w:val="000000"/>
                <w:szCs w:val="22"/>
                <w:lang w:eastAsia="sk-SK"/>
              </w:rPr>
              <w:t>23. 9. 2020</w:t>
            </w:r>
          </w:p>
        </w:tc>
        <w:tc>
          <w:tcPr>
            <w:tcW w:w="1881" w:type="dxa"/>
            <w:tcBorders>
              <w:top w:val="nil"/>
              <w:left w:val="single" w:sz="4" w:space="0" w:color="auto"/>
              <w:bottom w:val="single" w:sz="4" w:space="0" w:color="auto"/>
              <w:right w:val="single" w:sz="8" w:space="0" w:color="auto"/>
            </w:tcBorders>
            <w:noWrap/>
            <w:vAlign w:val="center"/>
            <w:hideMark/>
          </w:tcPr>
          <w:p w:rsidR="00D06E9B" w:rsidRDefault="00D06E9B" w:rsidP="00106D9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 </w:t>
            </w:r>
            <w:r w:rsidRPr="00263B2F">
              <w:rPr>
                <w:rFonts w:asciiTheme="minorHAnsi" w:hAnsiTheme="minorHAnsi" w:cstheme="minorHAnsi"/>
                <w:color w:val="000000"/>
                <w:sz w:val="20"/>
                <w:lang w:eastAsia="sk-SK"/>
              </w:rPr>
              <w:t>overila</w:t>
            </w:r>
          </w:p>
        </w:tc>
      </w:tr>
      <w:tr w:rsidR="00D06E9B" w:rsidTr="00106D97">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Overil</w:t>
            </w:r>
          </w:p>
        </w:tc>
        <w:tc>
          <w:tcPr>
            <w:tcW w:w="2726" w:type="dxa"/>
            <w:tcBorders>
              <w:top w:val="nil"/>
              <w:left w:val="nil"/>
              <w:bottom w:val="single" w:sz="4" w:space="0" w:color="auto"/>
              <w:right w:val="single" w:sz="4" w:space="0" w:color="auto"/>
            </w:tcBorders>
            <w:vAlign w:val="center"/>
            <w:hideMark/>
          </w:tcPr>
          <w:p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Tomáš Niňaj</w:t>
            </w:r>
          </w:p>
        </w:tc>
        <w:tc>
          <w:tcPr>
            <w:tcW w:w="1983" w:type="dxa"/>
            <w:tcBorders>
              <w:top w:val="nil"/>
              <w:left w:val="nil"/>
              <w:bottom w:val="single" w:sz="4" w:space="0" w:color="auto"/>
              <w:right w:val="single" w:sz="4" w:space="0" w:color="auto"/>
            </w:tcBorders>
            <w:vAlign w:val="center"/>
            <w:hideMark/>
          </w:tcPr>
          <w:p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hlavný manažér riadenia</w:t>
            </w:r>
          </w:p>
        </w:tc>
        <w:tc>
          <w:tcPr>
            <w:tcW w:w="1276" w:type="dxa"/>
            <w:tcBorders>
              <w:top w:val="nil"/>
              <w:left w:val="nil"/>
              <w:bottom w:val="single" w:sz="4" w:space="0" w:color="auto"/>
              <w:right w:val="nil"/>
            </w:tcBorders>
            <w:hideMark/>
          </w:tcPr>
          <w:p w:rsidR="00D06E9B" w:rsidRDefault="00FD5B77" w:rsidP="00106D97">
            <w:r>
              <w:rPr>
                <w:rFonts w:asciiTheme="minorHAnsi" w:hAnsiTheme="minorHAnsi" w:cstheme="minorHAnsi"/>
                <w:color w:val="000000"/>
                <w:szCs w:val="22"/>
                <w:lang w:eastAsia="sk-SK"/>
              </w:rPr>
              <w:t>23. 9. 2020</w:t>
            </w:r>
          </w:p>
        </w:tc>
        <w:tc>
          <w:tcPr>
            <w:tcW w:w="1881" w:type="dxa"/>
            <w:tcBorders>
              <w:top w:val="nil"/>
              <w:left w:val="single" w:sz="4" w:space="0" w:color="auto"/>
              <w:bottom w:val="single" w:sz="4" w:space="0" w:color="auto"/>
              <w:right w:val="single" w:sz="8" w:space="0" w:color="auto"/>
            </w:tcBorders>
            <w:noWrap/>
            <w:vAlign w:val="center"/>
            <w:hideMark/>
          </w:tcPr>
          <w:p w:rsidR="00D06E9B" w:rsidRDefault="00D06E9B" w:rsidP="00FD5B77">
            <w:pPr>
              <w:spacing w:line="276" w:lineRule="auto"/>
              <w:rPr>
                <w:rFonts w:asciiTheme="minorHAnsi" w:hAnsiTheme="minorHAnsi" w:cstheme="minorHAnsi"/>
                <w:color w:val="000000"/>
                <w:szCs w:val="22"/>
                <w:lang w:eastAsia="sk-SK"/>
              </w:rPr>
            </w:pPr>
            <w:r>
              <w:rPr>
                <w:rFonts w:asciiTheme="minorHAnsi" w:hAnsiTheme="minorHAnsi" w:cstheme="minorHAnsi"/>
                <w:color w:val="000000"/>
                <w:sz w:val="20"/>
                <w:lang w:eastAsia="sk-SK"/>
              </w:rPr>
              <w:t>o</w:t>
            </w:r>
            <w:r w:rsidRPr="00263B2F">
              <w:rPr>
                <w:rFonts w:asciiTheme="minorHAnsi" w:hAnsiTheme="minorHAnsi" w:cstheme="minorHAnsi"/>
                <w:color w:val="000000"/>
                <w:sz w:val="20"/>
                <w:lang w:eastAsia="sk-SK"/>
              </w:rPr>
              <w:t>veril</w:t>
            </w:r>
          </w:p>
        </w:tc>
      </w:tr>
    </w:tbl>
    <w:p w:rsidR="00D06E9B" w:rsidRPr="00FC0BBD" w:rsidRDefault="00D06E9B" w:rsidP="00D06E9B">
      <w:pPr>
        <w:rPr>
          <w:rFonts w:asciiTheme="minorHAnsi" w:hAnsiTheme="minorHAnsi" w:cstheme="minorHAnsi"/>
          <w:b/>
          <w:szCs w:val="22"/>
          <w:u w:val="single"/>
          <w:lang w:eastAsia="sk-SK"/>
        </w:rPr>
      </w:pPr>
    </w:p>
    <w:p w:rsidR="00D06E9B" w:rsidRDefault="00D06E9B" w:rsidP="00D06E9B">
      <w:pPr>
        <w:rPr>
          <w:rFonts w:asciiTheme="minorHAnsi" w:hAnsiTheme="minorHAnsi" w:cstheme="minorHAnsi"/>
          <w:b/>
          <w:szCs w:val="22"/>
          <w:u w:val="single"/>
          <w:lang w:eastAsia="sk-SK"/>
        </w:rPr>
      </w:pPr>
    </w:p>
    <w:p w:rsidR="00D06E9B" w:rsidRDefault="00D06E9B" w:rsidP="00D06E9B">
      <w:pPr>
        <w:rPr>
          <w:rFonts w:asciiTheme="minorHAnsi" w:hAnsiTheme="minorHAnsi" w:cstheme="minorHAnsi"/>
          <w:b/>
          <w:szCs w:val="22"/>
          <w:u w:val="single"/>
          <w:lang w:eastAsia="sk-SK"/>
        </w:rPr>
      </w:pPr>
    </w:p>
    <w:p w:rsidR="00D06E9B" w:rsidRDefault="00D06E9B" w:rsidP="00D06E9B">
      <w:pPr>
        <w:rPr>
          <w:rFonts w:asciiTheme="minorHAnsi" w:hAnsiTheme="minorHAnsi" w:cstheme="minorHAnsi"/>
          <w:b/>
          <w:szCs w:val="22"/>
          <w:u w:val="single"/>
          <w:lang w:eastAsia="sk-SK"/>
        </w:rPr>
      </w:pPr>
    </w:p>
    <w:p w:rsidR="00D06E9B" w:rsidRPr="00EF103E" w:rsidRDefault="00D06E9B" w:rsidP="00D06E9B">
      <w:pPr>
        <w:rPr>
          <w:rFonts w:asciiTheme="minorHAnsi" w:hAnsiTheme="minorHAnsi" w:cstheme="minorHAnsi"/>
          <w:b/>
          <w:u w:val="single"/>
          <w:lang w:eastAsia="sk-SK"/>
        </w:rPr>
      </w:pPr>
    </w:p>
    <w:p w:rsidR="00D06E9B" w:rsidRPr="00EF103E" w:rsidRDefault="00D06E9B" w:rsidP="00D06E9B">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Pr>
          <w:rFonts w:asciiTheme="minorHAnsi" w:hAnsiTheme="minorHAnsi" w:cstheme="minorHAnsi"/>
          <w:lang w:eastAsia="sk-SK"/>
        </w:rPr>
        <w:t>Peter Kostolný – generálny manažér RO OP TP</w:t>
      </w:r>
    </w:p>
    <w:p w:rsidR="00D06E9B" w:rsidRPr="000C2E0A" w:rsidRDefault="00D06E9B">
      <w:pPr>
        <w:rPr>
          <w:rFonts w:asciiTheme="minorHAnsi" w:hAnsiTheme="minorHAnsi"/>
        </w:rPr>
      </w:pPr>
    </w:p>
    <w:p w:rsidR="00D06E9B" w:rsidRDefault="00D06E9B" w:rsidP="00D06E9B">
      <w:pPr>
        <w:rPr>
          <w:rFonts w:asciiTheme="minorHAnsi" w:hAnsiTheme="minorHAnsi"/>
        </w:rPr>
      </w:pPr>
    </w:p>
    <w:p w:rsidR="00D06E9B" w:rsidRDefault="00D06E9B" w:rsidP="00D06E9B">
      <w:pPr>
        <w:rPr>
          <w:rFonts w:asciiTheme="minorHAnsi" w:hAnsiTheme="minorHAnsi"/>
        </w:rPr>
      </w:pPr>
    </w:p>
    <w:p w:rsidR="00D06E9B" w:rsidRDefault="00D06E9B" w:rsidP="00D06E9B">
      <w:pPr>
        <w:rPr>
          <w:rFonts w:asciiTheme="minorHAnsi" w:hAnsiTheme="minorHAnsi"/>
        </w:rPr>
      </w:pPr>
    </w:p>
    <w:p w:rsidR="00D06E9B" w:rsidRDefault="00D06E9B" w:rsidP="00D06E9B">
      <w:pPr>
        <w:rPr>
          <w:rFonts w:asciiTheme="minorHAnsi" w:hAnsiTheme="minorHAnsi"/>
        </w:rPr>
      </w:pPr>
    </w:p>
    <w:p w:rsidR="004D6D15" w:rsidRPr="00B579C2" w:rsidRDefault="004D6D15" w:rsidP="004D6D15">
      <w:pPr>
        <w:jc w:val="both"/>
        <w:rPr>
          <w:ins w:id="8" w:author="Autor"/>
          <w:rFonts w:ascii="Calibri" w:hAnsi="Calibri" w:cs="Calibri"/>
          <w:szCs w:val="22"/>
          <w:lang w:eastAsia="sk-SK"/>
          <w:rPrChange w:id="9" w:author="Autor">
            <w:rPr>
              <w:ins w:id="10" w:author="Autor"/>
              <w:rFonts w:ascii="Calibri" w:hAnsi="Calibri" w:cs="Calibri"/>
              <w:sz w:val="24"/>
              <w:szCs w:val="24"/>
              <w:lang w:eastAsia="sk-SK"/>
            </w:rPr>
          </w:rPrChange>
        </w:rPr>
      </w:pPr>
      <w:ins w:id="11" w:author="Autor">
        <w:r w:rsidRPr="00B579C2">
          <w:rPr>
            <w:rFonts w:ascii="Calibri" w:hAnsi="Calibri" w:cs="Calibri"/>
            <w:szCs w:val="22"/>
            <w:lang w:eastAsia="sk-SK"/>
            <w:rPrChange w:id="12" w:author="Autor">
              <w:rPr>
                <w:rFonts w:ascii="Calibri" w:hAnsi="Calibri" w:cs="Calibri"/>
                <w:sz w:val="24"/>
                <w:szCs w:val="24"/>
                <w:lang w:eastAsia="sk-SK"/>
              </w:rPr>
            </w:rPrChange>
          </w:rPr>
          <w:t>Podpísané elektronicky v súlade so zákonom č. 305/2013 Z. z. o elektronickej podobe výkonu pôsobnosti orgánov verejnej moci a o zmene a doplnení niektorých zákonov (zákon</w:t>
        </w:r>
        <w:r w:rsidR="008062A0">
          <w:rPr>
            <w:rFonts w:ascii="Calibri" w:hAnsi="Calibri" w:cs="Calibri"/>
            <w:szCs w:val="22"/>
            <w:lang w:eastAsia="sk-SK"/>
          </w:rPr>
          <w:br/>
        </w:r>
        <w:del w:id="13" w:author="Autor">
          <w:r w:rsidRPr="00B579C2" w:rsidDel="008062A0">
            <w:rPr>
              <w:rFonts w:ascii="Calibri" w:hAnsi="Calibri" w:cs="Calibri"/>
              <w:szCs w:val="22"/>
              <w:lang w:eastAsia="sk-SK"/>
              <w:rPrChange w:id="14" w:author="Autor">
                <w:rPr>
                  <w:rFonts w:ascii="Calibri" w:hAnsi="Calibri" w:cs="Calibri"/>
                  <w:sz w:val="24"/>
                  <w:szCs w:val="24"/>
                  <w:lang w:eastAsia="sk-SK"/>
                </w:rPr>
              </w:rPrChange>
            </w:rPr>
            <w:delText xml:space="preserve"> </w:delText>
          </w:r>
        </w:del>
        <w:r w:rsidRPr="00B579C2">
          <w:rPr>
            <w:rFonts w:ascii="Calibri" w:hAnsi="Calibri" w:cs="Calibri"/>
            <w:szCs w:val="22"/>
            <w:lang w:eastAsia="sk-SK"/>
            <w:rPrChange w:id="15" w:author="Autor">
              <w:rPr>
                <w:rFonts w:ascii="Calibri" w:hAnsi="Calibri" w:cs="Calibri"/>
                <w:sz w:val="24"/>
                <w:szCs w:val="24"/>
                <w:lang w:eastAsia="sk-SK"/>
              </w:rPr>
            </w:rPrChange>
          </w:rPr>
          <w:t>o e-Governmente) v znení neskorších predpisov.</w:t>
        </w:r>
      </w:ins>
    </w:p>
    <w:p w:rsidR="00B52DFF" w:rsidRPr="000C2E0A" w:rsidRDefault="00D06E9B" w:rsidP="000C2E0A">
      <w:pPr>
        <w:tabs>
          <w:tab w:val="left" w:pos="2910"/>
        </w:tabs>
        <w:rPr>
          <w:rFonts w:asciiTheme="minorHAnsi" w:hAnsiTheme="minorHAnsi"/>
        </w:rPr>
        <w:sectPr w:rsidR="00B52DFF" w:rsidRPr="000C2E0A" w:rsidSect="00D06E9B">
          <w:headerReference w:type="default" r:id="rId9"/>
          <w:footerReference w:type="default" r:id="rId10"/>
          <w:headerReference w:type="first" r:id="rId11"/>
          <w:pgSz w:w="11907" w:h="16840" w:code="9"/>
          <w:pgMar w:top="1560" w:right="1474" w:bottom="1588" w:left="1474" w:header="1077" w:footer="709" w:gutter="454"/>
          <w:cols w:space="737"/>
          <w:titlePg/>
          <w:docGrid w:linePitch="299"/>
        </w:sectPr>
      </w:pPr>
      <w:del w:id="16" w:author="Autor">
        <w:r w:rsidRPr="00F6701F" w:rsidDel="004D6D15">
          <w:rPr>
            <w:rFonts w:asciiTheme="minorHAnsi" w:hAnsiTheme="minorHAnsi" w:cstheme="minorHAnsi"/>
            <w:lang w:eastAsia="sk-SK"/>
          </w:rPr>
          <w:delText>Podpísané zaručenou elektronickou pečaťou v zmysle zákona č. 272/2016 Z. z.</w:delText>
        </w:r>
      </w:del>
    </w:p>
    <w:p w:rsidR="00F11889" w:rsidRDefault="00F11889" w:rsidP="00F11889">
      <w:pPr>
        <w:rPr>
          <w:rFonts w:asciiTheme="minorHAnsi" w:hAnsiTheme="minorHAnsi"/>
          <w:b/>
        </w:rPr>
      </w:pPr>
    </w:p>
    <w:p w:rsidR="00D06E9B" w:rsidRPr="00750B43" w:rsidRDefault="00D06E9B"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17"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2BFCC24E" wp14:editId="1AB6F09F">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3C70C1" w:rsidRDefault="003C70C1"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3C70C1" w:rsidRDefault="003C70C1"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4"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3C70C1" w:rsidRDefault="003C70C1"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3C70C1" w:rsidRDefault="003C70C1"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5"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8" w:name="ReportName1" w:colFirst="0" w:colLast="0"/>
            <w:bookmarkEnd w:id="17"/>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19" w:name="Subtitle" w:colFirst="0" w:colLast="0"/>
            <w:bookmarkEnd w:id="18"/>
          </w:p>
        </w:tc>
      </w:tr>
      <w:bookmarkEnd w:id="19"/>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FD5B77">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del w:id="20" w:author="Autor">
                    <w:r w:rsidR="007771CD" w:rsidDel="00FD5B77">
                      <w:rPr>
                        <w:rFonts w:asciiTheme="minorHAnsi" w:hAnsiTheme="minorHAnsi"/>
                        <w:color w:val="808080"/>
                        <w:sz w:val="24"/>
                        <w:szCs w:val="24"/>
                        <w:lang w:val="sk-SK"/>
                      </w:rPr>
                      <w:delText>8</w:delText>
                    </w:r>
                  </w:del>
                  <w:ins w:id="21" w:author="Autor">
                    <w:r w:rsidR="00FD5B77">
                      <w:rPr>
                        <w:rFonts w:asciiTheme="minorHAnsi" w:hAnsiTheme="minorHAnsi"/>
                        <w:color w:val="808080"/>
                        <w:sz w:val="24"/>
                        <w:szCs w:val="24"/>
                        <w:lang w:val="sk-SK"/>
                      </w:rPr>
                      <w:t>9</w:t>
                    </w:r>
                  </w:ins>
                  <w:r w:rsidR="00D8285D" w:rsidRPr="00750B43">
                    <w:rPr>
                      <w:rFonts w:asciiTheme="minorHAnsi" w:hAnsiTheme="minorHAnsi"/>
                      <w:color w:val="808080"/>
                      <w:sz w:val="24"/>
                      <w:szCs w:val="24"/>
                      <w:lang w:val="sk-SK"/>
                    </w:rPr>
                    <w:t xml:space="preserve">.0, </w:t>
                  </w:r>
                  <w:del w:id="22" w:author="Autor">
                    <w:r w:rsidR="00D54165" w:rsidDel="00FD5B77">
                      <w:rPr>
                        <w:rFonts w:asciiTheme="minorHAnsi" w:hAnsiTheme="minorHAnsi"/>
                        <w:color w:val="808080"/>
                        <w:sz w:val="24"/>
                        <w:szCs w:val="24"/>
                        <w:lang w:val="sk-SK"/>
                      </w:rPr>
                      <w:delText>12</w:delText>
                    </w:r>
                  </w:del>
                  <w:ins w:id="23" w:author="Autor">
                    <w:r w:rsidR="00FD5B77">
                      <w:rPr>
                        <w:rFonts w:asciiTheme="minorHAnsi" w:hAnsiTheme="minorHAnsi"/>
                        <w:color w:val="808080"/>
                        <w:sz w:val="24"/>
                        <w:szCs w:val="24"/>
                        <w:lang w:val="sk-SK"/>
                      </w:rPr>
                      <w:t>29</w:t>
                    </w:r>
                  </w:ins>
                  <w:r w:rsidR="00A97C61">
                    <w:rPr>
                      <w:rFonts w:asciiTheme="minorHAnsi" w:hAnsiTheme="minorHAnsi"/>
                      <w:color w:val="808080"/>
                      <w:sz w:val="24"/>
                      <w:szCs w:val="24"/>
                      <w:lang w:val="sk-SK"/>
                    </w:rPr>
                    <w:t xml:space="preserve">. </w:t>
                  </w:r>
                  <w:del w:id="24" w:author="Autor">
                    <w:r w:rsidR="00D54165" w:rsidDel="00FD5B77">
                      <w:rPr>
                        <w:rFonts w:asciiTheme="minorHAnsi" w:hAnsiTheme="minorHAnsi"/>
                        <w:color w:val="808080"/>
                        <w:sz w:val="24"/>
                        <w:szCs w:val="24"/>
                        <w:lang w:val="sk-SK"/>
                      </w:rPr>
                      <w:delText xml:space="preserve">decembra </w:delText>
                    </w:r>
                  </w:del>
                  <w:ins w:id="25" w:author="Autor">
                    <w:r w:rsidR="00FD5B77">
                      <w:rPr>
                        <w:rFonts w:asciiTheme="minorHAnsi" w:hAnsiTheme="minorHAnsi"/>
                        <w:color w:val="808080"/>
                        <w:sz w:val="24"/>
                        <w:szCs w:val="24"/>
                        <w:lang w:val="sk-SK"/>
                      </w:rPr>
                      <w:t xml:space="preserve">septembra </w:t>
                    </w:r>
                  </w:ins>
                  <w:del w:id="26" w:author="Autor">
                    <w:r w:rsidR="00D54165" w:rsidDel="00FD5B77">
                      <w:rPr>
                        <w:rFonts w:asciiTheme="minorHAnsi" w:hAnsiTheme="minorHAnsi"/>
                        <w:color w:val="808080"/>
                        <w:sz w:val="24"/>
                        <w:szCs w:val="24"/>
                        <w:lang w:val="sk-SK"/>
                      </w:rPr>
                      <w:delText>2018</w:delText>
                    </w:r>
                  </w:del>
                  <w:ins w:id="27" w:author="Autor">
                    <w:r w:rsidR="00FD5B77">
                      <w:rPr>
                        <w:rFonts w:asciiTheme="minorHAnsi" w:hAnsiTheme="minorHAnsi"/>
                        <w:color w:val="808080"/>
                        <w:sz w:val="24"/>
                        <w:szCs w:val="24"/>
                        <w:lang w:val="sk-SK"/>
                      </w:rPr>
                      <w:t>2020</w:t>
                    </w:r>
                  </w:ins>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D54165"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D54165" w:rsidRPr="007A6FAA">
        <w:rPr>
          <w:rFonts w:asciiTheme="minorHAnsi" w:hAnsiTheme="minorHAnsi"/>
          <w:color w:val="365F91"/>
        </w:rPr>
        <w:t>Evidencia zmien príručky pre odborného hodnotiteľa</w:t>
      </w:r>
      <w:r w:rsidR="00D54165">
        <w:tab/>
      </w:r>
      <w:r w:rsidR="00D54165">
        <w:fldChar w:fldCharType="begin"/>
      </w:r>
      <w:r w:rsidR="00D54165">
        <w:instrText xml:space="preserve"> PAGEREF _Toc531945832 \h </w:instrText>
      </w:r>
      <w:r w:rsidR="00D54165">
        <w:fldChar w:fldCharType="separate"/>
      </w:r>
      <w:r w:rsidR="00F67F3B">
        <w:t>4</w:t>
      </w:r>
      <w:r w:rsidR="00D54165">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Zoznam použitých skratiek a vybraných pojmov</w:t>
      </w:r>
      <w:r>
        <w:tab/>
      </w:r>
      <w:r>
        <w:fldChar w:fldCharType="begin"/>
      </w:r>
      <w:r>
        <w:instrText xml:space="preserve"> PAGEREF _Toc531945833 \h </w:instrText>
      </w:r>
      <w:r>
        <w:fldChar w:fldCharType="separate"/>
      </w:r>
      <w:r w:rsidR="00F67F3B">
        <w:t>5</w:t>
      </w:r>
      <w:r>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Základné definície</w:t>
      </w:r>
      <w:r>
        <w:tab/>
      </w:r>
      <w:r>
        <w:fldChar w:fldCharType="begin"/>
      </w:r>
      <w:r>
        <w:instrText xml:space="preserve"> PAGEREF _Toc531945834 \h </w:instrText>
      </w:r>
      <w:r>
        <w:fldChar w:fldCharType="separate"/>
      </w:r>
      <w:r w:rsidR="00F67F3B">
        <w:t>6</w:t>
      </w:r>
      <w:r>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1</w:t>
      </w:r>
      <w:r>
        <w:rPr>
          <w:rFonts w:asciiTheme="minorHAnsi" w:eastAsiaTheme="minorEastAsia" w:hAnsiTheme="minorHAnsi" w:cstheme="minorBidi"/>
          <w:sz w:val="22"/>
          <w:szCs w:val="22"/>
          <w:lang w:eastAsia="sk-SK"/>
        </w:rPr>
        <w:tab/>
      </w:r>
      <w:r w:rsidRPr="007A6FAA">
        <w:rPr>
          <w:rFonts w:asciiTheme="minorHAnsi" w:hAnsiTheme="minorHAnsi"/>
          <w:color w:val="365F91"/>
        </w:rPr>
        <w:t>Všeobecné východiská</w:t>
      </w:r>
      <w:r>
        <w:tab/>
      </w:r>
      <w:r>
        <w:fldChar w:fldCharType="begin"/>
      </w:r>
      <w:r>
        <w:instrText xml:space="preserve"> PAGEREF _Toc531945835 \h </w:instrText>
      </w:r>
      <w:r>
        <w:fldChar w:fldCharType="separate"/>
      </w:r>
      <w:r w:rsidR="00F67F3B">
        <w:t>9</w:t>
      </w:r>
      <w:r>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2</w:t>
      </w:r>
      <w:r>
        <w:rPr>
          <w:rFonts w:asciiTheme="minorHAnsi" w:eastAsiaTheme="minorEastAsia" w:hAnsiTheme="minorHAnsi" w:cstheme="minorBidi"/>
          <w:sz w:val="22"/>
          <w:szCs w:val="22"/>
          <w:lang w:eastAsia="sk-SK"/>
        </w:rPr>
        <w:tab/>
      </w:r>
      <w:r w:rsidRPr="007A6FAA">
        <w:rPr>
          <w:rFonts w:asciiTheme="minorHAnsi" w:hAnsiTheme="minorHAnsi"/>
          <w:color w:val="365F91"/>
        </w:rPr>
        <w:t>Organizačno-procesné zabezpečenie odborného hodnotenia</w:t>
      </w:r>
      <w:r>
        <w:tab/>
      </w:r>
      <w:r>
        <w:fldChar w:fldCharType="begin"/>
      </w:r>
      <w:r>
        <w:instrText xml:space="preserve"> PAGEREF _Toc531945836 \h </w:instrText>
      </w:r>
      <w:r>
        <w:fldChar w:fldCharType="separate"/>
      </w:r>
      <w:r w:rsidR="00F67F3B">
        <w:t>11</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2.1</w:t>
      </w:r>
      <w:r>
        <w:rPr>
          <w:rFonts w:asciiTheme="minorHAnsi" w:eastAsiaTheme="minorEastAsia" w:hAnsiTheme="minorHAnsi" w:cstheme="minorBidi"/>
          <w:sz w:val="22"/>
          <w:szCs w:val="22"/>
          <w:lang w:eastAsia="sk-SK"/>
        </w:rPr>
        <w:tab/>
      </w:r>
      <w:r w:rsidRPr="007A6FAA">
        <w:rPr>
          <w:rFonts w:asciiTheme="minorHAnsi" w:hAnsiTheme="minorHAnsi"/>
          <w:color w:val="365F91"/>
        </w:rPr>
        <w:t>Výber odborných hodnotiteľov</w:t>
      </w:r>
      <w:r>
        <w:tab/>
      </w:r>
      <w:r>
        <w:fldChar w:fldCharType="begin"/>
      </w:r>
      <w:r>
        <w:instrText xml:space="preserve"> PAGEREF _Toc531945837 \h </w:instrText>
      </w:r>
      <w:r>
        <w:fldChar w:fldCharType="separate"/>
      </w:r>
      <w:r w:rsidR="00F67F3B">
        <w:t>11</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2.2</w:t>
      </w:r>
      <w:r>
        <w:rPr>
          <w:rFonts w:asciiTheme="minorHAnsi" w:eastAsiaTheme="minorEastAsia" w:hAnsiTheme="minorHAnsi" w:cstheme="minorBidi"/>
          <w:sz w:val="22"/>
          <w:szCs w:val="22"/>
          <w:lang w:eastAsia="sk-SK"/>
        </w:rPr>
        <w:tab/>
      </w:r>
      <w:r w:rsidRPr="007A6FAA">
        <w:rPr>
          <w:rFonts w:asciiTheme="minorHAnsi" w:hAnsiTheme="minorHAnsi"/>
          <w:color w:val="365F91"/>
        </w:rPr>
        <w:t>Menovanie a odvolávanie odborných hodnotiteľov</w:t>
      </w:r>
      <w:r>
        <w:tab/>
      </w:r>
      <w:r>
        <w:fldChar w:fldCharType="begin"/>
      </w:r>
      <w:r>
        <w:instrText xml:space="preserve"> PAGEREF _Toc531945838 \h </w:instrText>
      </w:r>
      <w:r>
        <w:fldChar w:fldCharType="separate"/>
      </w:r>
      <w:r w:rsidR="00F67F3B">
        <w:t>12</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2.3</w:t>
      </w:r>
      <w:r>
        <w:rPr>
          <w:rFonts w:asciiTheme="minorHAnsi" w:eastAsiaTheme="minorEastAsia" w:hAnsiTheme="minorHAnsi" w:cstheme="minorBidi"/>
          <w:sz w:val="22"/>
          <w:szCs w:val="22"/>
          <w:lang w:eastAsia="sk-SK"/>
        </w:rPr>
        <w:tab/>
      </w:r>
      <w:r w:rsidRPr="007A6FAA">
        <w:rPr>
          <w:rFonts w:asciiTheme="minorHAnsi" w:hAnsiTheme="minorHAnsi"/>
          <w:color w:val="365F91"/>
        </w:rPr>
        <w:t>Vzťahy s odbornými hodnotiteľmi</w:t>
      </w:r>
      <w:r>
        <w:tab/>
      </w:r>
      <w:r>
        <w:fldChar w:fldCharType="begin"/>
      </w:r>
      <w:r>
        <w:instrText xml:space="preserve"> PAGEREF _Toc531945839 \h </w:instrText>
      </w:r>
      <w:r>
        <w:fldChar w:fldCharType="separate"/>
      </w:r>
      <w:r w:rsidR="00F67F3B">
        <w:t>13</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2.4</w:t>
      </w:r>
      <w:r>
        <w:rPr>
          <w:rFonts w:asciiTheme="minorHAnsi" w:eastAsiaTheme="minorEastAsia" w:hAnsiTheme="minorHAnsi" w:cstheme="minorBidi"/>
          <w:sz w:val="22"/>
          <w:szCs w:val="22"/>
          <w:lang w:eastAsia="sk-SK"/>
        </w:rPr>
        <w:tab/>
      </w:r>
      <w:r w:rsidRPr="007A6FAA">
        <w:rPr>
          <w:rFonts w:asciiTheme="minorHAnsi" w:hAnsiTheme="minorHAnsi"/>
          <w:color w:val="365F91"/>
        </w:rPr>
        <w:t>Školenie odborných hodnotiteľov</w:t>
      </w:r>
      <w:r>
        <w:tab/>
      </w:r>
      <w:r>
        <w:fldChar w:fldCharType="begin"/>
      </w:r>
      <w:r>
        <w:instrText xml:space="preserve"> PAGEREF _Toc531945840 \h </w:instrText>
      </w:r>
      <w:r>
        <w:fldChar w:fldCharType="separate"/>
      </w:r>
      <w:r w:rsidR="00F67F3B">
        <w:t>14</w:t>
      </w:r>
      <w:r>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3</w:t>
      </w:r>
      <w:r>
        <w:rPr>
          <w:rFonts w:asciiTheme="minorHAnsi" w:eastAsiaTheme="minorEastAsia" w:hAnsiTheme="minorHAnsi" w:cstheme="minorBidi"/>
          <w:sz w:val="22"/>
          <w:szCs w:val="22"/>
          <w:lang w:eastAsia="sk-SK"/>
        </w:rPr>
        <w:tab/>
      </w:r>
      <w:r w:rsidRPr="007A6FAA">
        <w:rPr>
          <w:rFonts w:asciiTheme="minorHAnsi" w:hAnsiTheme="minorHAnsi"/>
          <w:color w:val="365F91"/>
        </w:rPr>
        <w:t>Postup odborného hodnotenia – rámcový popis</w:t>
      </w:r>
      <w:r>
        <w:tab/>
      </w:r>
      <w:r>
        <w:fldChar w:fldCharType="begin"/>
      </w:r>
      <w:r>
        <w:instrText xml:space="preserve"> PAGEREF _Toc531945841 \h </w:instrText>
      </w:r>
      <w:r>
        <w:fldChar w:fldCharType="separate"/>
      </w:r>
      <w:r w:rsidR="00F67F3B">
        <w:t>16</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3.1</w:t>
      </w:r>
      <w:r>
        <w:rPr>
          <w:rFonts w:asciiTheme="minorHAnsi" w:eastAsiaTheme="minorEastAsia" w:hAnsiTheme="minorHAnsi" w:cstheme="minorBidi"/>
          <w:sz w:val="22"/>
          <w:szCs w:val="22"/>
          <w:lang w:eastAsia="sk-SK"/>
        </w:rPr>
        <w:tab/>
      </w:r>
      <w:r w:rsidRPr="007A6FAA">
        <w:rPr>
          <w:rFonts w:asciiTheme="minorHAnsi" w:hAnsiTheme="minorHAnsi"/>
          <w:color w:val="365F91"/>
        </w:rPr>
        <w:t>Prideľovanie projektov hodnotiteľom</w:t>
      </w:r>
      <w:r>
        <w:tab/>
      </w:r>
      <w:r>
        <w:fldChar w:fldCharType="begin"/>
      </w:r>
      <w:r>
        <w:instrText xml:space="preserve"> PAGEREF _Toc531945842 \h </w:instrText>
      </w:r>
      <w:r>
        <w:fldChar w:fldCharType="separate"/>
      </w:r>
      <w:r w:rsidR="00F67F3B">
        <w:t>16</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3.2</w:t>
      </w:r>
      <w:r>
        <w:rPr>
          <w:rFonts w:asciiTheme="minorHAnsi" w:eastAsiaTheme="minorEastAsia" w:hAnsiTheme="minorHAnsi" w:cstheme="minorBidi"/>
          <w:sz w:val="22"/>
          <w:szCs w:val="22"/>
          <w:lang w:eastAsia="sk-SK"/>
        </w:rPr>
        <w:tab/>
      </w:r>
      <w:r w:rsidRPr="007A6FAA">
        <w:rPr>
          <w:rFonts w:asciiTheme="minorHAnsi" w:hAnsiTheme="minorHAnsi"/>
          <w:color w:val="365F91"/>
        </w:rPr>
        <w:t>Rámcový popis výkonu odborného hodnotenia</w:t>
      </w:r>
      <w:r>
        <w:tab/>
      </w:r>
      <w:r>
        <w:fldChar w:fldCharType="begin"/>
      </w:r>
      <w:r>
        <w:instrText xml:space="preserve"> PAGEREF _Toc531945843 \h </w:instrText>
      </w:r>
      <w:r>
        <w:fldChar w:fldCharType="separate"/>
      </w:r>
      <w:r w:rsidR="00F67F3B">
        <w:t>17</w:t>
      </w:r>
      <w:r>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4</w:t>
      </w:r>
      <w:r>
        <w:rPr>
          <w:rFonts w:asciiTheme="minorHAnsi" w:eastAsiaTheme="minorEastAsia" w:hAnsiTheme="minorHAnsi" w:cstheme="minorBidi"/>
          <w:sz w:val="22"/>
          <w:szCs w:val="22"/>
          <w:lang w:eastAsia="sk-SK"/>
        </w:rPr>
        <w:tab/>
      </w:r>
      <w:r w:rsidRPr="007A6FAA">
        <w:rPr>
          <w:rFonts w:asciiTheme="minorHAnsi" w:hAnsiTheme="minorHAnsi"/>
          <w:color w:val="365F91"/>
        </w:rPr>
        <w:t>Kritériá odborného hodnotenia a inštrukcie k ich aplikácii</w:t>
      </w:r>
      <w:r>
        <w:tab/>
      </w:r>
      <w:r>
        <w:fldChar w:fldCharType="begin"/>
      </w:r>
      <w:r>
        <w:instrText xml:space="preserve"> PAGEREF _Toc531945844 \h </w:instrText>
      </w:r>
      <w:r>
        <w:fldChar w:fldCharType="separate"/>
      </w:r>
      <w:r w:rsidR="00F67F3B">
        <w:t>21</w:t>
      </w:r>
      <w:r>
        <w:fldChar w:fldCharType="end"/>
      </w:r>
    </w:p>
    <w:p w:rsidR="00D54165" w:rsidRDefault="00D54165">
      <w:pPr>
        <w:pStyle w:val="Obsah2"/>
        <w:rPr>
          <w:rFonts w:asciiTheme="minorHAnsi" w:eastAsiaTheme="minorEastAsia" w:hAnsiTheme="minorHAnsi" w:cstheme="minorBidi"/>
          <w:sz w:val="22"/>
          <w:szCs w:val="22"/>
          <w:lang w:eastAsia="sk-SK"/>
        </w:rPr>
      </w:pPr>
      <w:r w:rsidRPr="007A6FAA">
        <w:rPr>
          <w:rFonts w:asciiTheme="minorHAnsi" w:hAnsiTheme="minorHAnsi"/>
          <w:color w:val="365F91"/>
        </w:rPr>
        <w:t>4.1</w:t>
      </w:r>
      <w:r>
        <w:rPr>
          <w:rFonts w:asciiTheme="minorHAnsi" w:eastAsiaTheme="minorEastAsia" w:hAnsiTheme="minorHAnsi" w:cstheme="minorBidi"/>
          <w:sz w:val="22"/>
          <w:szCs w:val="22"/>
          <w:lang w:eastAsia="sk-SK"/>
        </w:rPr>
        <w:tab/>
      </w:r>
      <w:r w:rsidRPr="007A6FAA">
        <w:rPr>
          <w:rFonts w:asciiTheme="minorHAnsi" w:hAnsiTheme="minorHAnsi"/>
          <w:color w:val="365F91"/>
        </w:rPr>
        <w:t>Hodnotiace kritériá pre projekty technickej pomoci</w:t>
      </w:r>
      <w:r>
        <w:tab/>
      </w:r>
      <w:r>
        <w:fldChar w:fldCharType="begin"/>
      </w:r>
      <w:r>
        <w:instrText xml:space="preserve"> PAGEREF _Toc531945845 \h </w:instrText>
      </w:r>
      <w:r>
        <w:fldChar w:fldCharType="separate"/>
      </w:r>
      <w:r w:rsidR="00F67F3B">
        <w:t>22</w:t>
      </w:r>
      <w:r>
        <w:fldChar w:fldCharType="end"/>
      </w:r>
    </w:p>
    <w:p w:rsidR="00D54165" w:rsidRDefault="00D54165">
      <w:pPr>
        <w:pStyle w:val="Obsah3"/>
        <w:rPr>
          <w:rFonts w:asciiTheme="minorHAnsi" w:eastAsiaTheme="minorEastAsia" w:hAnsiTheme="minorHAnsi" w:cstheme="minorBidi"/>
          <w:sz w:val="22"/>
          <w:szCs w:val="22"/>
          <w:lang w:eastAsia="sk-SK"/>
        </w:rPr>
      </w:pPr>
      <w:r w:rsidRPr="007A6FAA">
        <w:rPr>
          <w:rFonts w:asciiTheme="minorHAnsi" w:hAnsiTheme="minorHAnsi"/>
          <w:color w:val="365F91"/>
        </w:rPr>
        <w:t>4.1.1</w:t>
      </w:r>
      <w:r>
        <w:rPr>
          <w:rFonts w:asciiTheme="minorHAnsi" w:eastAsiaTheme="minorEastAsia" w:hAnsiTheme="minorHAnsi" w:cstheme="minorBidi"/>
          <w:sz w:val="22"/>
          <w:szCs w:val="22"/>
          <w:lang w:eastAsia="sk-SK"/>
        </w:rPr>
        <w:tab/>
      </w:r>
      <w:r w:rsidRPr="007A6FAA">
        <w:rPr>
          <w:rFonts w:asciiTheme="minorHAnsi" w:hAnsiTheme="minorHAnsi"/>
          <w:color w:val="365F91"/>
        </w:rPr>
        <w:t>Príspevok projektu k cieľom a výsledkom OP TP a prioritnej osi</w:t>
      </w:r>
      <w:r>
        <w:tab/>
      </w:r>
      <w:r>
        <w:fldChar w:fldCharType="begin"/>
      </w:r>
      <w:r>
        <w:instrText xml:space="preserve"> PAGEREF _Toc531945846 \h </w:instrText>
      </w:r>
      <w:r>
        <w:fldChar w:fldCharType="separate"/>
      </w:r>
      <w:r w:rsidR="00F67F3B">
        <w:t>22</w:t>
      </w:r>
      <w:r>
        <w:fldChar w:fldCharType="end"/>
      </w:r>
    </w:p>
    <w:p w:rsidR="00D54165" w:rsidRDefault="00D54165">
      <w:pPr>
        <w:pStyle w:val="Obsah3"/>
        <w:rPr>
          <w:rFonts w:asciiTheme="minorHAnsi" w:eastAsiaTheme="minorEastAsia" w:hAnsiTheme="minorHAnsi" w:cstheme="minorBidi"/>
          <w:sz w:val="22"/>
          <w:szCs w:val="22"/>
          <w:lang w:eastAsia="sk-SK"/>
        </w:rPr>
      </w:pPr>
      <w:r w:rsidRPr="007A6FAA">
        <w:rPr>
          <w:rFonts w:asciiTheme="minorHAnsi" w:hAnsiTheme="minorHAnsi"/>
          <w:color w:val="365F91"/>
        </w:rPr>
        <w:t>4.1.2</w:t>
      </w:r>
      <w:r>
        <w:rPr>
          <w:rFonts w:asciiTheme="minorHAnsi" w:eastAsiaTheme="minorEastAsia" w:hAnsiTheme="minorHAnsi" w:cstheme="minorBidi"/>
          <w:sz w:val="22"/>
          <w:szCs w:val="22"/>
          <w:lang w:eastAsia="sk-SK"/>
        </w:rPr>
        <w:tab/>
      </w:r>
      <w:r w:rsidRPr="007A6FAA">
        <w:rPr>
          <w:rFonts w:asciiTheme="minorHAnsi" w:hAnsiTheme="minorHAnsi"/>
          <w:color w:val="365F91"/>
        </w:rPr>
        <w:t>Spôsob realizácie projektu OP TP</w:t>
      </w:r>
      <w:r>
        <w:tab/>
      </w:r>
      <w:r>
        <w:fldChar w:fldCharType="begin"/>
      </w:r>
      <w:r>
        <w:instrText xml:space="preserve"> PAGEREF _Toc531945847 \h </w:instrText>
      </w:r>
      <w:r>
        <w:fldChar w:fldCharType="separate"/>
      </w:r>
      <w:r w:rsidR="00F67F3B">
        <w:t>26</w:t>
      </w:r>
      <w:r>
        <w:fldChar w:fldCharType="end"/>
      </w:r>
    </w:p>
    <w:p w:rsidR="00D54165" w:rsidRDefault="00D54165">
      <w:pPr>
        <w:pStyle w:val="Obsah3"/>
        <w:rPr>
          <w:rFonts w:asciiTheme="minorHAnsi" w:eastAsiaTheme="minorEastAsia" w:hAnsiTheme="minorHAnsi" w:cstheme="minorBidi"/>
          <w:sz w:val="22"/>
          <w:szCs w:val="22"/>
          <w:lang w:eastAsia="sk-SK"/>
        </w:rPr>
      </w:pPr>
      <w:r w:rsidRPr="007A6FAA">
        <w:rPr>
          <w:rFonts w:asciiTheme="minorHAnsi" w:hAnsiTheme="minorHAnsi"/>
          <w:color w:val="365F91"/>
        </w:rPr>
        <w:t>4.1.3</w:t>
      </w:r>
      <w:r>
        <w:rPr>
          <w:rFonts w:asciiTheme="minorHAnsi" w:eastAsiaTheme="minorEastAsia" w:hAnsiTheme="minorHAnsi" w:cstheme="minorBidi"/>
          <w:sz w:val="22"/>
          <w:szCs w:val="22"/>
          <w:lang w:eastAsia="sk-SK"/>
        </w:rPr>
        <w:tab/>
      </w:r>
      <w:r w:rsidRPr="007A6FAA">
        <w:rPr>
          <w:rFonts w:asciiTheme="minorHAnsi" w:hAnsiTheme="minorHAnsi"/>
          <w:color w:val="365F91"/>
        </w:rPr>
        <w:t>Administratívna a prevádzková kapacita žiadateľa o NFP z OP TP</w:t>
      </w:r>
      <w:r>
        <w:tab/>
      </w:r>
      <w:r>
        <w:fldChar w:fldCharType="begin"/>
      </w:r>
      <w:r>
        <w:instrText xml:space="preserve"> PAGEREF _Toc531945848 \h </w:instrText>
      </w:r>
      <w:r>
        <w:fldChar w:fldCharType="separate"/>
      </w:r>
      <w:r w:rsidR="00F67F3B">
        <w:t>33</w:t>
      </w:r>
      <w:r>
        <w:fldChar w:fldCharType="end"/>
      </w:r>
    </w:p>
    <w:p w:rsidR="00D54165" w:rsidRDefault="00D54165">
      <w:pPr>
        <w:pStyle w:val="Obsah3"/>
        <w:rPr>
          <w:rFonts w:asciiTheme="minorHAnsi" w:eastAsiaTheme="minorEastAsia" w:hAnsiTheme="minorHAnsi" w:cstheme="minorBidi"/>
          <w:sz w:val="22"/>
          <w:szCs w:val="22"/>
          <w:lang w:eastAsia="sk-SK"/>
        </w:rPr>
      </w:pPr>
      <w:r w:rsidRPr="007A6FAA">
        <w:rPr>
          <w:rFonts w:asciiTheme="minorHAnsi" w:hAnsiTheme="minorHAnsi"/>
          <w:color w:val="365F91"/>
        </w:rPr>
        <w:t>4.1.4</w:t>
      </w:r>
      <w:r>
        <w:rPr>
          <w:rFonts w:asciiTheme="minorHAnsi" w:eastAsiaTheme="minorEastAsia" w:hAnsiTheme="minorHAnsi" w:cstheme="minorBidi"/>
          <w:sz w:val="22"/>
          <w:szCs w:val="22"/>
          <w:lang w:eastAsia="sk-SK"/>
        </w:rPr>
        <w:tab/>
      </w:r>
      <w:r w:rsidRPr="007A6FAA">
        <w:rPr>
          <w:rFonts w:asciiTheme="minorHAnsi" w:hAnsiTheme="minorHAnsi"/>
          <w:color w:val="365F91"/>
        </w:rPr>
        <w:t>Finančná a ekonomická stránka projektu OP TP</w:t>
      </w:r>
      <w:r>
        <w:tab/>
      </w:r>
      <w:r>
        <w:fldChar w:fldCharType="begin"/>
      </w:r>
      <w:r>
        <w:instrText xml:space="preserve"> PAGEREF _Toc531945849 \h </w:instrText>
      </w:r>
      <w:r>
        <w:fldChar w:fldCharType="separate"/>
      </w:r>
      <w:r w:rsidR="00F67F3B">
        <w:t>38</w:t>
      </w:r>
      <w:r>
        <w:fldChar w:fldCharType="end"/>
      </w:r>
    </w:p>
    <w:p w:rsidR="00D54165" w:rsidRDefault="00D54165">
      <w:pPr>
        <w:pStyle w:val="Obsah1"/>
        <w:rPr>
          <w:rFonts w:asciiTheme="minorHAnsi" w:eastAsiaTheme="minorEastAsia" w:hAnsiTheme="minorHAnsi" w:cstheme="minorBidi"/>
          <w:sz w:val="22"/>
          <w:szCs w:val="22"/>
          <w:lang w:eastAsia="sk-SK"/>
        </w:rPr>
      </w:pPr>
      <w:r w:rsidRPr="007A6FAA">
        <w:rPr>
          <w:rFonts w:asciiTheme="minorHAnsi" w:hAnsiTheme="minorHAnsi"/>
          <w:color w:val="365F91"/>
        </w:rPr>
        <w:t>5</w:t>
      </w:r>
      <w:r>
        <w:rPr>
          <w:rFonts w:asciiTheme="minorHAnsi" w:eastAsiaTheme="minorEastAsia" w:hAnsiTheme="minorHAnsi" w:cstheme="minorBidi"/>
          <w:sz w:val="22"/>
          <w:szCs w:val="22"/>
          <w:lang w:eastAsia="sk-SK"/>
        </w:rPr>
        <w:tab/>
      </w:r>
      <w:r w:rsidRPr="007A6FAA">
        <w:rPr>
          <w:rFonts w:asciiTheme="minorHAnsi" w:hAnsiTheme="minorHAnsi"/>
          <w:color w:val="365F91"/>
        </w:rPr>
        <w:t>Prílohy</w:t>
      </w:r>
      <w:r>
        <w:tab/>
      </w:r>
      <w:r>
        <w:fldChar w:fldCharType="begin"/>
      </w:r>
      <w:r>
        <w:instrText xml:space="preserve"> PAGEREF _Toc531945850 \h </w:instrText>
      </w:r>
      <w:r>
        <w:fldChar w:fldCharType="separate"/>
      </w:r>
      <w:r w:rsidR="00F67F3B">
        <w:t>44</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D54165" w:rsidRDefault="00D54165">
      <w:pPr>
        <w:rPr>
          <w:rFonts w:asciiTheme="minorHAnsi" w:hAnsiTheme="minorHAnsi"/>
          <w:color w:val="365F91"/>
          <w:sz w:val="40"/>
          <w:szCs w:val="40"/>
        </w:rPr>
      </w:pPr>
      <w:r>
        <w:rPr>
          <w:rFonts w:asciiTheme="minorHAnsi" w:hAnsiTheme="minorHAnsi"/>
          <w:color w:val="365F91"/>
          <w:sz w:val="40"/>
          <w:szCs w:val="40"/>
        </w:rPr>
        <w:br w:type="page"/>
      </w:r>
    </w:p>
    <w:p w:rsidR="00D54165" w:rsidRDefault="00D54165" w:rsidP="000C2E0A">
      <w:pPr>
        <w:pStyle w:val="Nadpis1"/>
        <w:numPr>
          <w:ilvl w:val="0"/>
          <w:numId w:val="0"/>
        </w:numPr>
        <w:rPr>
          <w:rFonts w:asciiTheme="minorHAnsi" w:hAnsiTheme="minorHAnsi"/>
          <w:color w:val="365F91"/>
          <w:sz w:val="40"/>
          <w:szCs w:val="40"/>
        </w:rPr>
      </w:pPr>
      <w:bookmarkStart w:id="28" w:name="_Toc531945832"/>
      <w:r w:rsidRPr="00D54165">
        <w:rPr>
          <w:rFonts w:asciiTheme="minorHAnsi" w:hAnsiTheme="minorHAnsi"/>
          <w:color w:val="365F91"/>
          <w:sz w:val="40"/>
          <w:szCs w:val="40"/>
        </w:rPr>
        <w:lastRenderedPageBreak/>
        <w:t>Evidenc</w:t>
      </w:r>
      <w:r>
        <w:rPr>
          <w:rFonts w:asciiTheme="minorHAnsi" w:hAnsiTheme="minorHAnsi"/>
          <w:color w:val="365F91"/>
          <w:sz w:val="40"/>
          <w:szCs w:val="40"/>
        </w:rPr>
        <w:t xml:space="preserve">ia zmien príručky pre odborného </w:t>
      </w:r>
      <w:r w:rsidRPr="00D54165">
        <w:rPr>
          <w:rFonts w:asciiTheme="minorHAnsi" w:hAnsiTheme="minorHAnsi"/>
          <w:color w:val="365F91"/>
          <w:sz w:val="40"/>
          <w:szCs w:val="40"/>
        </w:rPr>
        <w:t>hodnotiteľa</w:t>
      </w:r>
      <w:bookmarkEnd w:id="28"/>
    </w:p>
    <w:p w:rsidR="00D54165" w:rsidRDefault="00D54165" w:rsidP="00D54165">
      <w:pPr>
        <w:keepNext/>
        <w:keepLines/>
        <w:spacing w:before="360" w:after="120"/>
        <w:jc w:val="center"/>
        <w:rPr>
          <w:rFonts w:ascii="Calibri" w:hAnsi="Calibri" w:cs="Calibri"/>
          <w:b/>
          <w:noProof w:val="0"/>
          <w:sz w:val="28"/>
          <w:szCs w:val="28"/>
        </w:rPr>
      </w:pPr>
    </w:p>
    <w:tbl>
      <w:tblPr>
        <w:tblpPr w:leftFromText="141" w:rightFromText="141" w:vertAnchor="text" w:horzAnchor="margin" w:tblpXSpec="center" w:tblpY="64"/>
        <w:tblW w:w="1020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27"/>
        <w:gridCol w:w="3118"/>
        <w:gridCol w:w="1985"/>
      </w:tblGrid>
      <w:tr w:rsidR="00D54165" w:rsidRPr="00D54165" w:rsidTr="000C2E0A">
        <w:trPr>
          <w:trHeight w:val="607"/>
        </w:trPr>
        <w:tc>
          <w:tcPr>
            <w:tcW w:w="10207" w:type="dxa"/>
            <w:gridSpan w:val="4"/>
            <w:shd w:val="clear" w:color="auto" w:fill="FBD4B4" w:themeFill="accent6" w:themeFillTint="66"/>
            <w:vAlign w:val="center"/>
          </w:tcPr>
          <w:p w:rsidR="00D54165" w:rsidRPr="00D54165" w:rsidRDefault="00D54165" w:rsidP="00FD5B77">
            <w:pPr>
              <w:keepNext/>
              <w:keepLines/>
              <w:jc w:val="center"/>
              <w:rPr>
                <w:rFonts w:ascii="Calibri" w:hAnsi="Calibri" w:cs="Calibri"/>
                <w:b/>
                <w:noProof w:val="0"/>
                <w:sz w:val="28"/>
                <w:szCs w:val="28"/>
              </w:rPr>
            </w:pPr>
            <w:r w:rsidRPr="00D54165">
              <w:rPr>
                <w:rFonts w:ascii="Calibri" w:hAnsi="Calibri" w:cs="Calibri"/>
                <w:b/>
                <w:noProof w:val="0"/>
                <w:sz w:val="28"/>
                <w:szCs w:val="28"/>
              </w:rPr>
              <w:t xml:space="preserve">Kontrolný list k Príručke pre odborného hodnotiteľa, verzia č. </w:t>
            </w:r>
            <w:del w:id="29" w:author="Autor">
              <w:r w:rsidRPr="00D54165" w:rsidDel="00FD5B77">
                <w:rPr>
                  <w:rFonts w:ascii="Calibri" w:hAnsi="Calibri" w:cs="Calibri"/>
                  <w:b/>
                  <w:noProof w:val="0"/>
                  <w:sz w:val="28"/>
                  <w:szCs w:val="28"/>
                </w:rPr>
                <w:delText>8</w:delText>
              </w:r>
            </w:del>
            <w:ins w:id="30" w:author="Autor">
              <w:r w:rsidR="00FD5B77">
                <w:rPr>
                  <w:rFonts w:ascii="Calibri" w:hAnsi="Calibri" w:cs="Calibri"/>
                  <w:b/>
                  <w:noProof w:val="0"/>
                  <w:sz w:val="28"/>
                  <w:szCs w:val="28"/>
                </w:rPr>
                <w:t>9</w:t>
              </w:r>
            </w:ins>
            <w:r w:rsidRPr="00D54165">
              <w:rPr>
                <w:rFonts w:ascii="Calibri" w:hAnsi="Calibri" w:cs="Calibri"/>
                <w:b/>
                <w:noProof w:val="0"/>
                <w:sz w:val="28"/>
                <w:szCs w:val="28"/>
              </w:rPr>
              <w:t>.0</w:t>
            </w:r>
          </w:p>
        </w:tc>
      </w:tr>
      <w:tr w:rsidR="00D54165" w:rsidRPr="00D54165" w:rsidTr="000C2E0A">
        <w:trPr>
          <w:trHeight w:val="607"/>
        </w:trPr>
        <w:tc>
          <w:tcPr>
            <w:tcW w:w="1277"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Číslo kapitoly</w:t>
            </w:r>
          </w:p>
        </w:tc>
        <w:tc>
          <w:tcPr>
            <w:tcW w:w="3827"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Popis zmeny</w:t>
            </w:r>
          </w:p>
        </w:tc>
        <w:tc>
          <w:tcPr>
            <w:tcW w:w="3118"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Zdôvodnenie</w:t>
            </w:r>
          </w:p>
        </w:tc>
        <w:tc>
          <w:tcPr>
            <w:tcW w:w="1985"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Dátum platnosti zmeny</w:t>
            </w:r>
          </w:p>
        </w:tc>
      </w:tr>
      <w:tr w:rsidR="00005316" w:rsidRPr="00D54165" w:rsidTr="000C2E0A">
        <w:tc>
          <w:tcPr>
            <w:tcW w:w="1277" w:type="dxa"/>
          </w:tcPr>
          <w:p w:rsidR="00005316" w:rsidRPr="00D54165" w:rsidRDefault="00005316" w:rsidP="00005316">
            <w:pPr>
              <w:keepNext/>
              <w:keepLines/>
              <w:spacing w:before="60"/>
              <w:jc w:val="center"/>
              <w:rPr>
                <w:rFonts w:ascii="Calibri" w:hAnsi="Calibri" w:cs="Calibri"/>
                <w:bCs/>
                <w:noProof w:val="0"/>
                <w:sz w:val="18"/>
                <w:szCs w:val="18"/>
              </w:rPr>
            </w:pPr>
            <w:ins w:id="31" w:author="Autor">
              <w:r w:rsidRPr="00D54165">
                <w:rPr>
                  <w:rFonts w:ascii="Calibri" w:hAnsi="Calibri" w:cs="Calibri"/>
                  <w:bCs/>
                  <w:noProof w:val="0"/>
                  <w:sz w:val="18"/>
                  <w:szCs w:val="18"/>
                </w:rPr>
                <w:t>3.2</w:t>
              </w:r>
            </w:ins>
          </w:p>
        </w:tc>
        <w:tc>
          <w:tcPr>
            <w:tcW w:w="3827" w:type="dxa"/>
          </w:tcPr>
          <w:p w:rsidR="00005316" w:rsidRPr="00D54165" w:rsidRDefault="00005316" w:rsidP="00005316">
            <w:pPr>
              <w:keepNext/>
              <w:keepLines/>
              <w:spacing w:before="60"/>
              <w:rPr>
                <w:rFonts w:ascii="Calibri" w:hAnsi="Calibri" w:cs="Calibri"/>
                <w:bCs/>
                <w:noProof w:val="0"/>
                <w:sz w:val="18"/>
                <w:szCs w:val="18"/>
              </w:rPr>
            </w:pPr>
            <w:ins w:id="32" w:author="Autor">
              <w:r w:rsidRPr="00D54165">
                <w:rPr>
                  <w:rFonts w:ascii="Calibri" w:hAnsi="Calibri" w:cs="Calibri"/>
                  <w:bCs/>
                  <w:noProof w:val="0"/>
                  <w:sz w:val="18"/>
                  <w:szCs w:val="18"/>
                </w:rPr>
                <w:t xml:space="preserve">Rámcový popis výkonu odborného hodnotenia – </w:t>
              </w:r>
              <w:r>
                <w:rPr>
                  <w:rFonts w:ascii="Calibri" w:hAnsi="Calibri" w:cs="Calibri"/>
                  <w:bCs/>
                  <w:noProof w:val="0"/>
                  <w:sz w:val="18"/>
                  <w:szCs w:val="18"/>
                </w:rPr>
                <w:t>doplnenie textu: „</w:t>
              </w:r>
              <w:r w:rsidRPr="00005316">
                <w:rPr>
                  <w:rFonts w:ascii="Calibri" w:hAnsi="Calibri" w:cs="Calibri"/>
                  <w:bCs/>
                  <w:noProof w:val="0"/>
                  <w:sz w:val="18"/>
                  <w:szCs w:val="18"/>
                </w:rPr>
                <w:t>Za účelom dodatočného preukázania vyhodnotenia jednotlivých kritérií je hodnotiteľ povinný uchovávať dostatočnú podpornú dokumentáciu (PRNT SCRN, výpočty, web odkaz na link, fotografie...) na základe ktorej dospel k výsledku vyhodnotenia jednotlivých hodnotiacich kritérií.</w:t>
              </w:r>
              <w:r w:rsidRPr="00D54165">
                <w:rPr>
                  <w:rFonts w:ascii="Calibri" w:hAnsi="Calibri" w:cs="Calibri"/>
                  <w:bCs/>
                  <w:noProof w:val="0"/>
                  <w:sz w:val="18"/>
                  <w:szCs w:val="18"/>
                </w:rPr>
                <w:t xml:space="preserve"> </w:t>
              </w:r>
            </w:ins>
          </w:p>
        </w:tc>
        <w:tc>
          <w:tcPr>
            <w:tcW w:w="3118" w:type="dxa"/>
          </w:tcPr>
          <w:p w:rsidR="00005316" w:rsidRPr="00D54165" w:rsidRDefault="00005316" w:rsidP="00005316">
            <w:pPr>
              <w:keepNext/>
              <w:keepLines/>
              <w:spacing w:before="60"/>
              <w:rPr>
                <w:rFonts w:ascii="Calibri" w:hAnsi="Calibri" w:cs="Calibri"/>
                <w:bCs/>
                <w:noProof w:val="0"/>
                <w:sz w:val="18"/>
                <w:szCs w:val="18"/>
              </w:rPr>
            </w:pPr>
            <w:ins w:id="33" w:author="Autor">
              <w:r>
                <w:rPr>
                  <w:rFonts w:ascii="Calibri" w:hAnsi="Calibri" w:cs="Calibri"/>
                  <w:bCs/>
                  <w:noProof w:val="0"/>
                  <w:sz w:val="18"/>
                  <w:szCs w:val="18"/>
                </w:rPr>
                <w:t xml:space="preserve">V zmysle odporúčania v čiastkovej správe vládneho auditu A1031 </w:t>
              </w:r>
              <w:r w:rsidRPr="00D54165">
                <w:rPr>
                  <w:rFonts w:ascii="Calibri" w:hAnsi="Calibri" w:cs="Calibri"/>
                  <w:bCs/>
                  <w:noProof w:val="0"/>
                  <w:sz w:val="18"/>
                  <w:szCs w:val="18"/>
                </w:rPr>
                <w:t xml:space="preserve"> </w:t>
              </w:r>
            </w:ins>
          </w:p>
        </w:tc>
        <w:tc>
          <w:tcPr>
            <w:tcW w:w="1985" w:type="dxa"/>
          </w:tcPr>
          <w:p w:rsidR="00005316" w:rsidRPr="00D54165" w:rsidRDefault="00005316" w:rsidP="00005316">
            <w:pPr>
              <w:keepNext/>
              <w:keepLines/>
              <w:spacing w:before="60"/>
              <w:rPr>
                <w:rFonts w:ascii="Arial" w:hAnsi="Arial"/>
                <w:b/>
                <w:caps/>
                <w:noProof w:val="0"/>
                <w:sz w:val="28"/>
                <w:szCs w:val="22"/>
              </w:rPr>
            </w:pPr>
            <w:ins w:id="34" w:author="Autor">
              <w:del w:id="35" w:author="Autor">
                <w:r w:rsidRPr="00D54165" w:rsidDel="00D744A2">
                  <w:rPr>
                    <w:rFonts w:ascii="Calibri" w:hAnsi="Calibri" w:cs="Calibri"/>
                    <w:bCs/>
                    <w:noProof w:val="0"/>
                    <w:sz w:val="18"/>
                    <w:szCs w:val="18"/>
                  </w:rPr>
                  <w:delText>3.2</w:delText>
                </w:r>
              </w:del>
              <w:r w:rsidR="00D744A2">
                <w:rPr>
                  <w:rFonts w:ascii="Calibri" w:hAnsi="Calibri" w:cs="Calibri"/>
                  <w:bCs/>
                  <w:noProof w:val="0"/>
                  <w:sz w:val="18"/>
                  <w:szCs w:val="18"/>
                </w:rPr>
                <w:t>29.9.2020</w:t>
              </w:r>
            </w:ins>
          </w:p>
        </w:tc>
      </w:tr>
      <w:tr w:rsidR="00005316" w:rsidRPr="00D54165" w:rsidTr="001310F2">
        <w:tc>
          <w:tcPr>
            <w:tcW w:w="1277" w:type="dxa"/>
          </w:tcPr>
          <w:p w:rsidR="00005316" w:rsidRPr="00D54165" w:rsidRDefault="00005316" w:rsidP="00005316">
            <w:pPr>
              <w:keepNext/>
              <w:keepLines/>
              <w:spacing w:before="60"/>
              <w:jc w:val="center"/>
              <w:rPr>
                <w:rFonts w:ascii="Calibri" w:hAnsi="Calibri" w:cs="Calibri"/>
                <w:bCs/>
                <w:noProof w:val="0"/>
                <w:sz w:val="18"/>
                <w:szCs w:val="18"/>
              </w:rPr>
            </w:pPr>
            <w:ins w:id="36" w:author="Autor">
              <w:r w:rsidRPr="000C2E0A">
                <w:rPr>
                  <w:rFonts w:ascii="Calibri" w:hAnsi="Calibri" w:cs="Calibri"/>
                  <w:bCs/>
                  <w:noProof w:val="0"/>
                  <w:sz w:val="18"/>
                  <w:szCs w:val="18"/>
                </w:rPr>
                <w:t>4.1.4.</w:t>
              </w:r>
              <w:r>
                <w:rPr>
                  <w:rFonts w:ascii="Calibri" w:hAnsi="Calibri" w:cs="Calibri"/>
                  <w:bCs/>
                  <w:noProof w:val="0"/>
                  <w:sz w:val="18"/>
                  <w:szCs w:val="18"/>
                </w:rPr>
                <w:t>2</w:t>
              </w:r>
            </w:ins>
          </w:p>
        </w:tc>
        <w:tc>
          <w:tcPr>
            <w:tcW w:w="3827" w:type="dxa"/>
          </w:tcPr>
          <w:p w:rsidR="00B063E8" w:rsidRDefault="00005316" w:rsidP="00B063E8">
            <w:pPr>
              <w:keepNext/>
              <w:keepLines/>
              <w:spacing w:before="60"/>
              <w:rPr>
                <w:ins w:id="37" w:author="Autor"/>
                <w:rFonts w:ascii="Calibri" w:hAnsi="Calibri" w:cs="Calibri"/>
                <w:bCs/>
                <w:noProof w:val="0"/>
                <w:sz w:val="18"/>
                <w:szCs w:val="18"/>
              </w:rPr>
            </w:pPr>
            <w:ins w:id="38" w:author="Autor">
              <w:r w:rsidRPr="00005316">
                <w:rPr>
                  <w:rFonts w:ascii="Calibri" w:hAnsi="Calibri" w:cs="Calibri"/>
                  <w:bCs/>
                  <w:noProof w:val="0"/>
                  <w:sz w:val="18"/>
                  <w:szCs w:val="18"/>
                </w:rPr>
                <w:t xml:space="preserve">Hospodárnosť a efektívnosť výdavkov projektu OP TP </w:t>
              </w:r>
              <w:r>
                <w:rPr>
                  <w:rFonts w:ascii="Calibri" w:hAnsi="Calibri" w:cs="Calibri"/>
                  <w:bCs/>
                  <w:noProof w:val="0"/>
                  <w:sz w:val="18"/>
                  <w:szCs w:val="18"/>
                </w:rPr>
                <w:t xml:space="preserve"> - doplnenie text</w:t>
              </w:r>
              <w:del w:id="39" w:author="Autor">
                <w:r w:rsidDel="00B063E8">
                  <w:rPr>
                    <w:rFonts w:ascii="Calibri" w:hAnsi="Calibri" w:cs="Calibri"/>
                    <w:bCs/>
                    <w:noProof w:val="0"/>
                    <w:sz w:val="18"/>
                    <w:szCs w:val="18"/>
                  </w:rPr>
                  <w:delText>u</w:delText>
                </w:r>
              </w:del>
              <w:r w:rsidR="00B063E8">
                <w:rPr>
                  <w:rFonts w:ascii="Calibri" w:hAnsi="Calibri" w:cs="Calibri"/>
                  <w:bCs/>
                  <w:noProof w:val="0"/>
                  <w:sz w:val="18"/>
                  <w:szCs w:val="18"/>
                </w:rPr>
                <w:t>ov</w:t>
              </w:r>
              <w:r>
                <w:rPr>
                  <w:rFonts w:ascii="Calibri" w:hAnsi="Calibri" w:cs="Calibri"/>
                  <w:bCs/>
                  <w:noProof w:val="0"/>
                  <w:sz w:val="18"/>
                  <w:szCs w:val="18"/>
                </w:rPr>
                <w:t xml:space="preserve"> v inštrukcii pre hodnotiteľa: „</w:t>
              </w:r>
              <w:del w:id="40" w:author="Autor">
                <w:r w:rsidR="00B063E8" w:rsidDel="008B37D8">
                  <w:delText xml:space="preserve"> </w:delText>
                </w:r>
              </w:del>
              <w:r w:rsidR="00B063E8" w:rsidRPr="00B063E8">
                <w:rPr>
                  <w:rFonts w:ascii="Calibri" w:hAnsi="Calibri" w:cs="Calibri"/>
                  <w:bCs/>
                  <w:noProof w:val="0"/>
                  <w:sz w:val="18"/>
                  <w:szCs w:val="18"/>
                </w:rPr>
                <w:t>V prípade obstarávania poradenských služieb hodnotiteľ overí spôsob stanovenia metodiky výpočtu počtu hodín potrebných na jednotlivé oblasti požadovaných služieb ako aj počet procesov, ktoré boli vstupným údajom pre výpočet osobohodín.</w:t>
              </w:r>
              <w:r w:rsidR="00B063E8">
                <w:rPr>
                  <w:rFonts w:ascii="Calibri" w:hAnsi="Calibri" w:cs="Calibri"/>
                  <w:bCs/>
                  <w:noProof w:val="0"/>
                  <w:sz w:val="18"/>
                  <w:szCs w:val="18"/>
                </w:rPr>
                <w:t>“ a</w:t>
              </w:r>
            </w:ins>
          </w:p>
          <w:p w:rsidR="00005316" w:rsidRPr="00D54165" w:rsidRDefault="00B063E8" w:rsidP="00B063E8">
            <w:pPr>
              <w:keepNext/>
              <w:keepLines/>
              <w:spacing w:before="60"/>
              <w:rPr>
                <w:rFonts w:ascii="Calibri" w:hAnsi="Calibri" w:cs="Calibri"/>
                <w:bCs/>
                <w:noProof w:val="0"/>
                <w:sz w:val="18"/>
                <w:szCs w:val="18"/>
              </w:rPr>
            </w:pPr>
            <w:ins w:id="41" w:author="Autor">
              <w:r>
                <w:rPr>
                  <w:rFonts w:ascii="Calibri" w:hAnsi="Calibri" w:cs="Calibri"/>
                  <w:bCs/>
                  <w:noProof w:val="0"/>
                  <w:sz w:val="18"/>
                  <w:szCs w:val="18"/>
                </w:rPr>
                <w:t>„</w:t>
              </w:r>
              <w:r w:rsidR="00005316" w:rsidRPr="00005316">
                <w:rPr>
                  <w:rFonts w:ascii="Calibri" w:hAnsi="Calibri" w:cs="Calibri"/>
                  <w:bCs/>
                  <w:noProof w:val="0"/>
                  <w:sz w:val="18"/>
                  <w:szCs w:val="18"/>
                </w:rPr>
                <w:t>Za účelom dodatočného preukázania vyhodnotenia tohto kritéria je hodnotiteľ povinný uchovávať dostatočnú podpornú dokumentáciu (PRNT SCRN, výpočty, web odkaz na link, fotografie...) k overeným skutočnostiam.</w:t>
              </w:r>
              <w:r w:rsidR="00005316">
                <w:rPr>
                  <w:rFonts w:ascii="Calibri" w:hAnsi="Calibri" w:cs="Calibri"/>
                  <w:bCs/>
                  <w:noProof w:val="0"/>
                  <w:sz w:val="18"/>
                  <w:szCs w:val="18"/>
                </w:rPr>
                <w:t>“</w:t>
              </w:r>
            </w:ins>
          </w:p>
        </w:tc>
        <w:tc>
          <w:tcPr>
            <w:tcW w:w="3118" w:type="dxa"/>
          </w:tcPr>
          <w:p w:rsidR="00005316" w:rsidRPr="00D54165" w:rsidRDefault="00005316" w:rsidP="00005316">
            <w:pPr>
              <w:keepNext/>
              <w:keepLines/>
              <w:spacing w:before="60"/>
              <w:rPr>
                <w:rFonts w:ascii="Calibri" w:hAnsi="Calibri" w:cs="Calibri"/>
                <w:bCs/>
                <w:noProof w:val="0"/>
                <w:sz w:val="18"/>
                <w:szCs w:val="18"/>
              </w:rPr>
            </w:pPr>
            <w:ins w:id="42" w:author="Autor">
              <w:r>
                <w:rPr>
                  <w:rFonts w:ascii="Calibri" w:hAnsi="Calibri" w:cs="Calibri"/>
                  <w:bCs/>
                  <w:noProof w:val="0"/>
                  <w:sz w:val="18"/>
                  <w:szCs w:val="18"/>
                </w:rPr>
                <w:t xml:space="preserve">V zmysle odporúčania v čiastkovej správe vládneho auditu A1031 </w:t>
              </w:r>
              <w:r w:rsidRPr="00D54165">
                <w:rPr>
                  <w:rFonts w:ascii="Calibri" w:hAnsi="Calibri" w:cs="Calibri"/>
                  <w:bCs/>
                  <w:noProof w:val="0"/>
                  <w:sz w:val="18"/>
                  <w:szCs w:val="18"/>
                </w:rPr>
                <w:t xml:space="preserve"> </w:t>
              </w:r>
            </w:ins>
          </w:p>
        </w:tc>
        <w:tc>
          <w:tcPr>
            <w:tcW w:w="1985" w:type="dxa"/>
          </w:tcPr>
          <w:p w:rsidR="00005316" w:rsidRPr="00D54165" w:rsidRDefault="00005316" w:rsidP="00005316">
            <w:pPr>
              <w:keepNext/>
              <w:keepLines/>
              <w:spacing w:before="60"/>
              <w:rPr>
                <w:rFonts w:ascii="Calibri" w:hAnsi="Calibri" w:cs="Calibri"/>
                <w:bCs/>
                <w:noProof w:val="0"/>
                <w:sz w:val="18"/>
                <w:szCs w:val="18"/>
              </w:rPr>
            </w:pPr>
            <w:ins w:id="43" w:author="Autor">
              <w:del w:id="44" w:author="Autor">
                <w:r w:rsidRPr="000C2E0A" w:rsidDel="00D744A2">
                  <w:rPr>
                    <w:rFonts w:ascii="Calibri" w:hAnsi="Calibri" w:cs="Calibri"/>
                    <w:bCs/>
                    <w:noProof w:val="0"/>
                    <w:sz w:val="18"/>
                    <w:szCs w:val="18"/>
                  </w:rPr>
                  <w:delText>4.1.4.</w:delText>
                </w:r>
                <w:r w:rsidDel="00D744A2">
                  <w:rPr>
                    <w:rFonts w:ascii="Calibri" w:hAnsi="Calibri" w:cs="Calibri"/>
                    <w:bCs/>
                    <w:noProof w:val="0"/>
                    <w:sz w:val="18"/>
                    <w:szCs w:val="18"/>
                  </w:rPr>
                  <w:delText>2</w:delText>
                </w:r>
              </w:del>
              <w:r w:rsidR="00D744A2">
                <w:rPr>
                  <w:rFonts w:ascii="Calibri" w:hAnsi="Calibri" w:cs="Calibri"/>
                  <w:bCs/>
                  <w:noProof w:val="0"/>
                  <w:sz w:val="18"/>
                  <w:szCs w:val="18"/>
                </w:rPr>
                <w:t>29.9.2020</w:t>
              </w:r>
            </w:ins>
          </w:p>
        </w:tc>
      </w:tr>
      <w:tr w:rsidR="001310F2" w:rsidRPr="00D54165" w:rsidDel="00FD5B77" w:rsidTr="000C2E0A">
        <w:trPr>
          <w:del w:id="45" w:author="Autor"/>
        </w:trPr>
        <w:tc>
          <w:tcPr>
            <w:tcW w:w="1277" w:type="dxa"/>
          </w:tcPr>
          <w:p w:rsidR="001310F2" w:rsidRPr="00D54165" w:rsidDel="00FD5B77" w:rsidRDefault="001310F2" w:rsidP="00D54165">
            <w:pPr>
              <w:keepNext/>
              <w:keepLines/>
              <w:spacing w:before="60"/>
              <w:jc w:val="center"/>
              <w:rPr>
                <w:del w:id="46" w:author="Autor"/>
                <w:rFonts w:ascii="Calibri" w:hAnsi="Calibri" w:cs="Calibri"/>
                <w:bCs/>
                <w:noProof w:val="0"/>
                <w:sz w:val="18"/>
                <w:szCs w:val="18"/>
              </w:rPr>
            </w:pPr>
          </w:p>
        </w:tc>
        <w:tc>
          <w:tcPr>
            <w:tcW w:w="3827" w:type="dxa"/>
          </w:tcPr>
          <w:p w:rsidR="001310F2" w:rsidRPr="00D54165" w:rsidDel="00FD5B77" w:rsidRDefault="001310F2" w:rsidP="00D54165">
            <w:pPr>
              <w:keepNext/>
              <w:keepLines/>
              <w:spacing w:before="60"/>
              <w:rPr>
                <w:del w:id="47" w:author="Autor"/>
                <w:rFonts w:ascii="Calibri" w:hAnsi="Calibri" w:cs="Calibri"/>
                <w:bCs/>
                <w:noProof w:val="0"/>
                <w:sz w:val="18"/>
                <w:szCs w:val="18"/>
              </w:rPr>
            </w:pPr>
          </w:p>
        </w:tc>
        <w:tc>
          <w:tcPr>
            <w:tcW w:w="3118" w:type="dxa"/>
          </w:tcPr>
          <w:p w:rsidR="001310F2" w:rsidRPr="00D54165" w:rsidDel="00FD5B77" w:rsidRDefault="001310F2" w:rsidP="00D54165">
            <w:pPr>
              <w:keepNext/>
              <w:keepLines/>
              <w:spacing w:before="60"/>
              <w:rPr>
                <w:del w:id="48" w:author="Autor"/>
                <w:rFonts w:ascii="Calibri" w:hAnsi="Calibri" w:cs="Calibri"/>
                <w:bCs/>
                <w:noProof w:val="0"/>
                <w:sz w:val="18"/>
                <w:szCs w:val="18"/>
              </w:rPr>
            </w:pPr>
          </w:p>
        </w:tc>
        <w:tc>
          <w:tcPr>
            <w:tcW w:w="1985" w:type="dxa"/>
          </w:tcPr>
          <w:p w:rsidR="001310F2" w:rsidRPr="00D54165" w:rsidDel="00FD5B77" w:rsidRDefault="001310F2" w:rsidP="00D54165">
            <w:pPr>
              <w:keepNext/>
              <w:keepLines/>
              <w:spacing w:before="60"/>
              <w:rPr>
                <w:del w:id="49" w:author="Autor"/>
                <w:rFonts w:ascii="Calibri" w:hAnsi="Calibri" w:cs="Calibri"/>
                <w:bCs/>
                <w:noProof w:val="0"/>
                <w:sz w:val="18"/>
                <w:szCs w:val="18"/>
              </w:rPr>
            </w:pPr>
          </w:p>
        </w:tc>
      </w:tr>
      <w:tr w:rsidR="001310F2" w:rsidRPr="00D54165" w:rsidDel="00FD5B77" w:rsidTr="000C2E0A">
        <w:trPr>
          <w:del w:id="50" w:author="Autor"/>
        </w:trPr>
        <w:tc>
          <w:tcPr>
            <w:tcW w:w="1277" w:type="dxa"/>
          </w:tcPr>
          <w:p w:rsidR="001310F2" w:rsidRPr="00D54165" w:rsidDel="00FD5B77" w:rsidRDefault="001310F2" w:rsidP="00D54165">
            <w:pPr>
              <w:keepNext/>
              <w:keepLines/>
              <w:spacing w:before="60"/>
              <w:jc w:val="center"/>
              <w:rPr>
                <w:del w:id="51" w:author="Autor"/>
                <w:rFonts w:ascii="Calibri" w:hAnsi="Calibri" w:cs="Calibri"/>
                <w:bCs/>
                <w:noProof w:val="0"/>
                <w:sz w:val="18"/>
                <w:szCs w:val="18"/>
              </w:rPr>
            </w:pPr>
          </w:p>
        </w:tc>
        <w:tc>
          <w:tcPr>
            <w:tcW w:w="3827" w:type="dxa"/>
          </w:tcPr>
          <w:p w:rsidR="001310F2" w:rsidRPr="00D54165" w:rsidDel="00FD5B77" w:rsidRDefault="001310F2" w:rsidP="00D54165">
            <w:pPr>
              <w:keepNext/>
              <w:keepLines/>
              <w:rPr>
                <w:del w:id="52" w:author="Autor"/>
                <w:rFonts w:ascii="Calibri" w:hAnsi="Calibri" w:cs="Calibri"/>
                <w:bCs/>
                <w:noProof w:val="0"/>
                <w:sz w:val="18"/>
                <w:szCs w:val="18"/>
              </w:rPr>
            </w:pPr>
          </w:p>
        </w:tc>
        <w:tc>
          <w:tcPr>
            <w:tcW w:w="3118" w:type="dxa"/>
          </w:tcPr>
          <w:p w:rsidR="001310F2" w:rsidRPr="00D54165" w:rsidDel="00FD5B77" w:rsidRDefault="001310F2" w:rsidP="00D54165">
            <w:pPr>
              <w:keepNext/>
              <w:keepLines/>
              <w:spacing w:before="60"/>
              <w:rPr>
                <w:del w:id="53" w:author="Autor"/>
                <w:rFonts w:ascii="Calibri" w:hAnsi="Calibri" w:cs="Calibri"/>
                <w:bCs/>
                <w:noProof w:val="0"/>
                <w:sz w:val="18"/>
                <w:szCs w:val="18"/>
              </w:rPr>
            </w:pPr>
          </w:p>
        </w:tc>
        <w:tc>
          <w:tcPr>
            <w:tcW w:w="1985" w:type="dxa"/>
          </w:tcPr>
          <w:p w:rsidR="001310F2" w:rsidRPr="00D54165" w:rsidDel="00FD5B77" w:rsidRDefault="001310F2" w:rsidP="00D54165">
            <w:pPr>
              <w:keepNext/>
              <w:keepLines/>
              <w:spacing w:before="60"/>
              <w:rPr>
                <w:del w:id="54" w:author="Autor"/>
                <w:rFonts w:ascii="Calibri" w:hAnsi="Calibri" w:cs="Calibri"/>
                <w:bCs/>
                <w:noProof w:val="0"/>
                <w:sz w:val="18"/>
                <w:szCs w:val="18"/>
              </w:rPr>
            </w:pPr>
          </w:p>
        </w:tc>
      </w:tr>
    </w:tbl>
    <w:p w:rsidR="00D54165" w:rsidRDefault="00D54165" w:rsidP="00D54165">
      <w:pPr>
        <w:keepNext/>
        <w:keepLines/>
        <w:spacing w:before="360" w:after="120"/>
        <w:jc w:val="center"/>
        <w:rPr>
          <w:rFonts w:ascii="Calibri" w:hAnsi="Calibri" w:cs="Calibri"/>
          <w:b/>
          <w:noProof w:val="0"/>
          <w:sz w:val="28"/>
          <w:szCs w:val="28"/>
        </w:rPr>
      </w:pPr>
    </w:p>
    <w:p w:rsidR="00D54165" w:rsidRPr="00D54165" w:rsidRDefault="00D54165" w:rsidP="00D54165">
      <w:pPr>
        <w:keepNext/>
        <w:keepLines/>
        <w:spacing w:before="360" w:after="120"/>
        <w:jc w:val="center"/>
        <w:rPr>
          <w:rFonts w:ascii="Calibri" w:hAnsi="Calibri" w:cs="Calibri"/>
          <w:b/>
          <w:caps/>
          <w:noProof w:val="0"/>
          <w:sz w:val="28"/>
          <w:szCs w:val="22"/>
        </w:rPr>
      </w:pPr>
      <w:r w:rsidRPr="00D54165">
        <w:rPr>
          <w:rFonts w:ascii="Calibri" w:hAnsi="Calibri" w:cs="Calibri"/>
          <w:b/>
          <w:noProof w:val="0"/>
          <w:sz w:val="28"/>
          <w:szCs w:val="28"/>
        </w:rPr>
        <w:t xml:space="preserve">Zoznam verzií  Príručky pre odborného hodnotiteľa </w:t>
      </w:r>
    </w:p>
    <w:tbl>
      <w:tblPr>
        <w:tblW w:w="8648"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
      <w:tr w:rsidR="00D54165" w:rsidRPr="00D54165" w:rsidTr="00106D97">
        <w:trPr>
          <w:trHeight w:val="607"/>
          <w:jc w:val="center"/>
        </w:trPr>
        <w:tc>
          <w:tcPr>
            <w:tcW w:w="1087"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Poradové číslo zmeny</w:t>
            </w:r>
          </w:p>
        </w:tc>
        <w:tc>
          <w:tcPr>
            <w:tcW w:w="4017"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 xml:space="preserve">Popis zmeny </w:t>
            </w:r>
          </w:p>
        </w:tc>
        <w:tc>
          <w:tcPr>
            <w:tcW w:w="1795"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 xml:space="preserve">Číslo verzie </w:t>
            </w:r>
          </w:p>
        </w:tc>
        <w:tc>
          <w:tcPr>
            <w:tcW w:w="1749" w:type="dxa"/>
            <w:shd w:val="clear" w:color="auto" w:fill="FBD4B4" w:themeFill="accent6" w:themeFillTint="66"/>
            <w:vAlign w:val="center"/>
          </w:tcPr>
          <w:p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Dátum účinnosti dokumentu</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20"/>
              </w:rPr>
            </w:pPr>
            <w:r w:rsidRPr="00D54165">
              <w:rPr>
                <w:rFonts w:ascii="Calibri" w:hAnsi="Calibri" w:cs="Calibri"/>
                <w:bCs/>
                <w:noProof w:val="0"/>
                <w:sz w:val="20"/>
              </w:rPr>
              <w:t>1</w:t>
            </w:r>
          </w:p>
        </w:tc>
        <w:tc>
          <w:tcPr>
            <w:tcW w:w="4017" w:type="dxa"/>
          </w:tcPr>
          <w:p w:rsidR="00D54165" w:rsidRPr="00D54165" w:rsidRDefault="00D54165" w:rsidP="00D54165">
            <w:pPr>
              <w:keepNext/>
              <w:keepLines/>
              <w:rPr>
                <w:rFonts w:ascii="Calibri" w:hAnsi="Calibri" w:cs="Calibri"/>
                <w:bCs/>
                <w:noProof w:val="0"/>
                <w:sz w:val="20"/>
              </w:rPr>
            </w:pPr>
            <w:r w:rsidRPr="00D54165">
              <w:rPr>
                <w:rFonts w:ascii="Calibri" w:hAnsi="Calibri" w:cs="Calibri"/>
                <w:bCs/>
                <w:noProof w:val="0"/>
                <w:sz w:val="20"/>
              </w:rPr>
              <w:t>Zapracovanie odporúčaní z vládneho auditu A641, Aktualizácia SR EŠIF, verzia 2.0 a vzorov CKO</w:t>
            </w:r>
          </w:p>
        </w:tc>
        <w:tc>
          <w:tcPr>
            <w:tcW w:w="1795" w:type="dxa"/>
          </w:tcPr>
          <w:p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2.0</w:t>
            </w:r>
          </w:p>
        </w:tc>
        <w:tc>
          <w:tcPr>
            <w:tcW w:w="1749" w:type="dxa"/>
          </w:tcPr>
          <w:p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31.1.2016</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20"/>
              </w:rPr>
            </w:pPr>
            <w:r w:rsidRPr="00D54165">
              <w:rPr>
                <w:rFonts w:ascii="Calibri" w:hAnsi="Calibri" w:cs="Calibri"/>
                <w:bCs/>
                <w:noProof w:val="0"/>
                <w:sz w:val="20"/>
              </w:rPr>
              <w:t>2</w:t>
            </w:r>
          </w:p>
        </w:tc>
        <w:tc>
          <w:tcPr>
            <w:tcW w:w="4017" w:type="dxa"/>
          </w:tcPr>
          <w:p w:rsidR="00D54165" w:rsidRPr="00D54165" w:rsidRDefault="00D54165" w:rsidP="00D54165">
            <w:pPr>
              <w:keepNext/>
              <w:keepLines/>
              <w:rPr>
                <w:rFonts w:ascii="Calibri" w:hAnsi="Calibri" w:cs="Calibri"/>
                <w:bCs/>
                <w:noProof w:val="0"/>
                <w:sz w:val="20"/>
              </w:rPr>
            </w:pPr>
            <w:r w:rsidRPr="00D54165">
              <w:rPr>
                <w:rFonts w:ascii="Calibri" w:hAnsi="Calibri" w:cs="Calibri"/>
                <w:bCs/>
                <w:noProof w:val="0"/>
                <w:sz w:val="20"/>
              </w:rPr>
              <w:t>Aktualizácia na základe potreby RO OP TP</w:t>
            </w:r>
          </w:p>
        </w:tc>
        <w:tc>
          <w:tcPr>
            <w:tcW w:w="1795" w:type="dxa"/>
          </w:tcPr>
          <w:p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3.0</w:t>
            </w:r>
          </w:p>
        </w:tc>
        <w:tc>
          <w:tcPr>
            <w:tcW w:w="1749" w:type="dxa"/>
          </w:tcPr>
          <w:p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22.2.2016</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3</w:t>
            </w:r>
          </w:p>
        </w:tc>
        <w:tc>
          <w:tcPr>
            <w:tcW w:w="4017" w:type="dxa"/>
          </w:tcPr>
          <w:p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20"/>
              </w:rPr>
              <w:t>Aktualizácia na základe potreby RO OP TP</w:t>
            </w:r>
          </w:p>
        </w:tc>
        <w:tc>
          <w:tcPr>
            <w:tcW w:w="1795"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4.0</w:t>
            </w:r>
          </w:p>
        </w:tc>
        <w:tc>
          <w:tcPr>
            <w:tcW w:w="1749"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2.11.2016</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4</w:t>
            </w:r>
          </w:p>
        </w:tc>
        <w:tc>
          <w:tcPr>
            <w:tcW w:w="4017" w:type="dxa"/>
          </w:tcPr>
          <w:p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20"/>
              </w:rPr>
              <w:t xml:space="preserve">Zapracovanie </w:t>
            </w:r>
            <w:r w:rsidRPr="00D54165">
              <w:rPr>
                <w:rFonts w:ascii="Calibri" w:hAnsi="Calibri" w:cs="Calibri"/>
                <w:bCs/>
                <w:noProof w:val="0"/>
                <w:sz w:val="18"/>
                <w:szCs w:val="18"/>
              </w:rPr>
              <w:t>predbežných zistení z vládneho auditu A810</w:t>
            </w:r>
          </w:p>
        </w:tc>
        <w:tc>
          <w:tcPr>
            <w:tcW w:w="1795"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5.0</w:t>
            </w:r>
          </w:p>
        </w:tc>
        <w:tc>
          <w:tcPr>
            <w:tcW w:w="1749"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28.6.2017</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5</w:t>
            </w:r>
          </w:p>
        </w:tc>
        <w:tc>
          <w:tcPr>
            <w:tcW w:w="4017" w:type="dxa"/>
          </w:tcPr>
          <w:p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Zapracovanie zistení pri certifikačnom overovaní súhrnnej ŹoP č. S20301217010</w:t>
            </w:r>
          </w:p>
        </w:tc>
        <w:tc>
          <w:tcPr>
            <w:tcW w:w="1795"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6.0</w:t>
            </w:r>
          </w:p>
        </w:tc>
        <w:tc>
          <w:tcPr>
            <w:tcW w:w="1749"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25.8.2017</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6</w:t>
            </w:r>
          </w:p>
        </w:tc>
        <w:tc>
          <w:tcPr>
            <w:tcW w:w="4017" w:type="dxa"/>
          </w:tcPr>
          <w:p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súhrnnej ŹoP č. S20301217016, </w:t>
            </w:r>
            <w:r w:rsidRPr="00D54165">
              <w:rPr>
                <w:rFonts w:ascii="Calibri" w:hAnsi="Calibri" w:cs="Calibri"/>
                <w:bCs/>
                <w:noProof w:val="0"/>
                <w:sz w:val="20"/>
              </w:rPr>
              <w:t>aktualizácia SR EŠIF, verzia 5.0 a vzorov CKO</w:t>
            </w:r>
          </w:p>
        </w:tc>
        <w:tc>
          <w:tcPr>
            <w:tcW w:w="1795"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7.0</w:t>
            </w:r>
          </w:p>
        </w:tc>
        <w:tc>
          <w:tcPr>
            <w:tcW w:w="1749"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28.11.2017</w:t>
            </w:r>
          </w:p>
        </w:tc>
      </w:tr>
      <w:tr w:rsidR="00D54165" w:rsidRPr="00D54165" w:rsidTr="00106D97">
        <w:trPr>
          <w:jc w:val="center"/>
        </w:trPr>
        <w:tc>
          <w:tcPr>
            <w:tcW w:w="1087" w:type="dxa"/>
          </w:tcPr>
          <w:p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7</w:t>
            </w:r>
          </w:p>
        </w:tc>
        <w:tc>
          <w:tcPr>
            <w:tcW w:w="4017" w:type="dxa"/>
          </w:tcPr>
          <w:p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w:t>
            </w:r>
            <w:r w:rsidRPr="00D54165">
              <w:rPr>
                <w:rFonts w:ascii="Calibri" w:hAnsi="Calibri" w:cs="Calibri"/>
                <w:bCs/>
                <w:noProof w:val="0"/>
                <w:sz w:val="20"/>
              </w:rPr>
              <w:t>aktualizácia SR EŠIF, verzia 7.0 a vzorov CKO</w:t>
            </w:r>
          </w:p>
        </w:tc>
        <w:tc>
          <w:tcPr>
            <w:tcW w:w="1795"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8.0</w:t>
            </w:r>
          </w:p>
        </w:tc>
        <w:tc>
          <w:tcPr>
            <w:tcW w:w="1749" w:type="dxa"/>
          </w:tcPr>
          <w:p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13.12.2018</w:t>
            </w:r>
          </w:p>
        </w:tc>
      </w:tr>
      <w:tr w:rsidR="00005316" w:rsidRPr="00D54165" w:rsidTr="00106D97">
        <w:trPr>
          <w:jc w:val="center"/>
          <w:ins w:id="55" w:author="Autor"/>
        </w:trPr>
        <w:tc>
          <w:tcPr>
            <w:tcW w:w="1087" w:type="dxa"/>
          </w:tcPr>
          <w:p w:rsidR="00005316" w:rsidRPr="00D54165" w:rsidRDefault="00005316" w:rsidP="00D54165">
            <w:pPr>
              <w:keepNext/>
              <w:keepLines/>
              <w:spacing w:before="60"/>
              <w:jc w:val="center"/>
              <w:rPr>
                <w:ins w:id="56" w:author="Autor"/>
                <w:rFonts w:ascii="Calibri" w:hAnsi="Calibri" w:cs="Calibri"/>
                <w:bCs/>
                <w:noProof w:val="0"/>
                <w:sz w:val="18"/>
                <w:szCs w:val="18"/>
              </w:rPr>
            </w:pPr>
            <w:ins w:id="57" w:author="Autor">
              <w:r>
                <w:rPr>
                  <w:rFonts w:ascii="Calibri" w:hAnsi="Calibri" w:cs="Calibri"/>
                  <w:bCs/>
                  <w:noProof w:val="0"/>
                  <w:sz w:val="18"/>
                  <w:szCs w:val="18"/>
                </w:rPr>
                <w:t>8</w:t>
              </w:r>
            </w:ins>
          </w:p>
        </w:tc>
        <w:tc>
          <w:tcPr>
            <w:tcW w:w="4017" w:type="dxa"/>
          </w:tcPr>
          <w:p w:rsidR="00005316" w:rsidRPr="00D54165" w:rsidRDefault="00005316" w:rsidP="00005316">
            <w:pPr>
              <w:keepNext/>
              <w:keepLines/>
              <w:rPr>
                <w:ins w:id="58" w:author="Autor"/>
                <w:rFonts w:ascii="Calibri" w:hAnsi="Calibri" w:cs="Calibri"/>
                <w:bCs/>
                <w:noProof w:val="0"/>
                <w:sz w:val="18"/>
                <w:szCs w:val="18"/>
              </w:rPr>
            </w:pPr>
            <w:ins w:id="59" w:author="Autor">
              <w:r w:rsidRPr="00D54165">
                <w:rPr>
                  <w:rFonts w:ascii="Calibri" w:hAnsi="Calibri" w:cs="Calibri"/>
                  <w:bCs/>
                  <w:noProof w:val="0"/>
                  <w:sz w:val="20"/>
                </w:rPr>
                <w:t>Zapracovanie odporúčaní z vládneho auditu A</w:t>
              </w:r>
              <w:r>
                <w:rPr>
                  <w:rFonts w:ascii="Calibri" w:hAnsi="Calibri" w:cs="Calibri"/>
                  <w:bCs/>
                  <w:noProof w:val="0"/>
                  <w:sz w:val="20"/>
                </w:rPr>
                <w:t>1031</w:t>
              </w:r>
            </w:ins>
          </w:p>
        </w:tc>
        <w:tc>
          <w:tcPr>
            <w:tcW w:w="1795" w:type="dxa"/>
          </w:tcPr>
          <w:p w:rsidR="00005316" w:rsidRPr="00D54165" w:rsidRDefault="00005316" w:rsidP="00D54165">
            <w:pPr>
              <w:keepNext/>
              <w:keepLines/>
              <w:spacing w:before="60"/>
              <w:rPr>
                <w:ins w:id="60" w:author="Autor"/>
                <w:rFonts w:ascii="Calibri" w:hAnsi="Calibri" w:cs="Calibri"/>
                <w:bCs/>
                <w:noProof w:val="0"/>
                <w:sz w:val="18"/>
                <w:szCs w:val="18"/>
              </w:rPr>
            </w:pPr>
            <w:ins w:id="61" w:author="Autor">
              <w:r>
                <w:rPr>
                  <w:rFonts w:ascii="Calibri" w:hAnsi="Calibri" w:cs="Calibri"/>
                  <w:bCs/>
                  <w:noProof w:val="0"/>
                  <w:sz w:val="18"/>
                  <w:szCs w:val="18"/>
                </w:rPr>
                <w:t>9.0</w:t>
              </w:r>
            </w:ins>
          </w:p>
        </w:tc>
        <w:tc>
          <w:tcPr>
            <w:tcW w:w="1749" w:type="dxa"/>
          </w:tcPr>
          <w:p w:rsidR="00005316" w:rsidRPr="00D54165" w:rsidRDefault="00D744A2" w:rsidP="00D54165">
            <w:pPr>
              <w:keepNext/>
              <w:keepLines/>
              <w:spacing w:before="60"/>
              <w:rPr>
                <w:ins w:id="62" w:author="Autor"/>
                <w:rFonts w:ascii="Calibri" w:hAnsi="Calibri" w:cs="Calibri"/>
                <w:bCs/>
                <w:noProof w:val="0"/>
                <w:sz w:val="18"/>
                <w:szCs w:val="18"/>
              </w:rPr>
            </w:pPr>
            <w:ins w:id="63" w:author="Autor">
              <w:r>
                <w:rPr>
                  <w:rFonts w:ascii="Calibri" w:hAnsi="Calibri" w:cs="Calibri"/>
                  <w:bCs/>
                  <w:noProof w:val="0"/>
                  <w:sz w:val="18"/>
                  <w:szCs w:val="18"/>
                </w:rPr>
                <w:t>29.9.2020</w:t>
              </w:r>
              <w:bookmarkStart w:id="64" w:name="_GoBack"/>
              <w:bookmarkEnd w:id="64"/>
            </w:ins>
          </w:p>
        </w:tc>
      </w:tr>
    </w:tbl>
    <w:p w:rsidR="00D54165" w:rsidRPr="000C2E0A" w:rsidRDefault="00D54165" w:rsidP="000C2E0A">
      <w:pPr>
        <w:pStyle w:val="Zkladntext"/>
      </w:pPr>
    </w:p>
    <w:p w:rsidR="007E7FC1" w:rsidRPr="00A11FD1" w:rsidRDefault="007E7FC1" w:rsidP="004E4696">
      <w:pPr>
        <w:pStyle w:val="Nadpis1"/>
        <w:numPr>
          <w:ilvl w:val="0"/>
          <w:numId w:val="0"/>
        </w:numPr>
        <w:rPr>
          <w:rFonts w:asciiTheme="minorHAnsi" w:hAnsiTheme="minorHAnsi"/>
          <w:color w:val="365F91"/>
          <w:sz w:val="40"/>
          <w:szCs w:val="40"/>
        </w:rPr>
      </w:pPr>
      <w:bookmarkStart w:id="65" w:name="_Toc531945833"/>
      <w:r w:rsidRPr="00A11FD1">
        <w:rPr>
          <w:rFonts w:asciiTheme="minorHAnsi" w:hAnsiTheme="minorHAnsi"/>
          <w:color w:val="365F91"/>
          <w:sz w:val="40"/>
          <w:szCs w:val="40"/>
        </w:rPr>
        <w:lastRenderedPageBreak/>
        <w:t>Zoznam použitých skratiek a vybraných pojmov</w:t>
      </w:r>
      <w:bookmarkEnd w:id="65"/>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66" w:name="_Toc531945834"/>
      <w:r w:rsidRPr="00A11FD1">
        <w:rPr>
          <w:rFonts w:asciiTheme="minorHAnsi" w:hAnsiTheme="minorHAnsi"/>
          <w:color w:val="365F91"/>
          <w:sz w:val="40"/>
          <w:szCs w:val="40"/>
        </w:rPr>
        <w:lastRenderedPageBreak/>
        <w:t>Základné definície</w:t>
      </w:r>
      <w:bookmarkEnd w:id="66"/>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predrealizačnú, realizačnú či porealizačnú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súhrn aktivít a činností, na ktoré sa vzťahuje poskytnutie pomoci, ktoré popisuje žiadateľ v ŽoNFP a ktoré realizuje prijímateľ v súlade so Zmluvou o poskytnutí NFP, resp. s rozhodnutím o schválení ŽoNFP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osoba, ktorá žiada o poskytnutie NFP do momentu uzavretia Zmluvy o poskytnutí NFP s RO resp. do momentu vydania rozhodnutia o schválení ŽoNFP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ŽoNFP a povinných príloh, ktorým žiadateľ žiada o poskytnutie NFP, a na základe ktorého RO prijme rozhodnutie </w:t>
      </w:r>
      <w:r w:rsidRPr="00A11FD1">
        <w:rPr>
          <w:rFonts w:asciiTheme="minorHAnsi" w:hAnsiTheme="minorHAnsi"/>
          <w:noProof w:val="0"/>
          <w:sz w:val="24"/>
          <w:szCs w:val="24"/>
          <w:lang w:eastAsia="en-AU"/>
        </w:rPr>
        <w:t>o schválení ŽoNFP na realizáciu projektu alebo rozhodnutie o neschválení ŽoNFP</w:t>
      </w:r>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headerReference w:type="first" r:id="rId16"/>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7" w:name="Text"/>
      <w:bookmarkStart w:id="68" w:name="_Toc415008675"/>
      <w:bookmarkStart w:id="69" w:name="_Toc531945835"/>
      <w:bookmarkEnd w:id="67"/>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68"/>
      <w:bookmarkEnd w:id="69"/>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0AF8EC3F" wp14:editId="0A8BDFFE">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70" w:name="_Toc531945836"/>
      <w:bookmarkStart w:id="71"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70"/>
    </w:p>
    <w:p w:rsidR="0051047A" w:rsidRPr="00A11FD1" w:rsidRDefault="0051047A" w:rsidP="0051047A">
      <w:pPr>
        <w:pStyle w:val="Nadpis2"/>
        <w:rPr>
          <w:rFonts w:asciiTheme="minorHAnsi" w:hAnsiTheme="minorHAnsi"/>
          <w:color w:val="365F91"/>
          <w:sz w:val="32"/>
          <w:szCs w:val="32"/>
        </w:rPr>
      </w:pPr>
      <w:bookmarkStart w:id="72" w:name="_Toc531945837"/>
      <w:commentRangeStart w:id="73"/>
      <w:r w:rsidRPr="00A11FD1">
        <w:rPr>
          <w:rFonts w:asciiTheme="minorHAnsi" w:hAnsiTheme="minorHAnsi"/>
          <w:color w:val="365F91"/>
          <w:sz w:val="32"/>
          <w:szCs w:val="32"/>
        </w:rPr>
        <w:t>Výber odborných hodnotiteľov</w:t>
      </w:r>
      <w:bookmarkEnd w:id="72"/>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8D0534" w:rsidRDefault="008D0534">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r w:rsidRPr="003E5EF4">
        <w:rPr>
          <w:rFonts w:asciiTheme="minorHAnsi" w:hAnsiTheme="minorHAnsi"/>
          <w:sz w:val="24"/>
          <w:szCs w:val="24"/>
        </w:rPr>
        <w:t>výpis z registra trestov, nie starší ako 3 mesiace ku dňu jeho predloženia (zamestnanci, ktorí sú povinní v zmysle platných právnych predpisov preukázať svoju bezúhonnosť svojmu zamestnávateľovi výpis z registra trestov nepredkladajú)</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lastRenderedPageBreak/>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2"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commentRangeEnd w:id="73"/>
      <w:r w:rsidR="00106D97">
        <w:rPr>
          <w:rStyle w:val="Odkaznakomentr"/>
        </w:rPr>
        <w:commentReference w:id="73"/>
      </w:r>
    </w:p>
    <w:p w:rsidR="0051047A" w:rsidRPr="00A11FD1" w:rsidRDefault="0051047A" w:rsidP="0051047A">
      <w:pPr>
        <w:pStyle w:val="Nadpis2"/>
        <w:rPr>
          <w:rFonts w:asciiTheme="minorHAnsi" w:hAnsiTheme="minorHAnsi"/>
          <w:color w:val="365F91"/>
          <w:sz w:val="32"/>
          <w:szCs w:val="32"/>
        </w:rPr>
      </w:pPr>
      <w:bookmarkStart w:id="74" w:name="_Toc531945838"/>
      <w:r w:rsidRPr="00A11FD1">
        <w:rPr>
          <w:rFonts w:asciiTheme="minorHAnsi" w:hAnsiTheme="minorHAnsi"/>
          <w:color w:val="365F91"/>
          <w:sz w:val="32"/>
          <w:szCs w:val="32"/>
        </w:rPr>
        <w:t>Menovanie a odvolávanie odborných hodnotiteľov</w:t>
      </w:r>
      <w:bookmarkEnd w:id="74"/>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75" w:name="_Toc531945839"/>
      <w:r w:rsidRPr="00A11FD1">
        <w:rPr>
          <w:rFonts w:asciiTheme="minorHAnsi" w:hAnsiTheme="minorHAnsi"/>
          <w:color w:val="365F91"/>
          <w:sz w:val="32"/>
          <w:szCs w:val="32"/>
        </w:rPr>
        <w:t>Vzťahy s odbornými hodnotiteľmi</w:t>
      </w:r>
      <w:bookmarkEnd w:id="75"/>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lastRenderedPageBreak/>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76" w:name="_Toc531945840"/>
      <w:r w:rsidRPr="00A11FD1">
        <w:rPr>
          <w:rFonts w:asciiTheme="minorHAnsi" w:hAnsiTheme="minorHAnsi"/>
          <w:color w:val="365F91"/>
          <w:sz w:val="32"/>
          <w:szCs w:val="32"/>
        </w:rPr>
        <w:t>Školenie odborných hodnotiteľov</w:t>
      </w:r>
      <w:bookmarkEnd w:id="76"/>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w:t>
      </w:r>
      <w:r w:rsidR="00700B85" w:rsidRPr="00A11FD1">
        <w:rPr>
          <w:rFonts w:asciiTheme="minorHAnsi" w:hAnsiTheme="minorHAnsi"/>
          <w:bCs/>
          <w:sz w:val="24"/>
          <w:szCs w:val="24"/>
        </w:rPr>
        <w:lastRenderedPageBreak/>
        <w:t xml:space="preserve">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77" w:name="_Toc415257657"/>
      <w:bookmarkStart w:id="78" w:name="_Toc531945841"/>
      <w:bookmarkEnd w:id="77"/>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78"/>
    </w:p>
    <w:p w:rsidR="004E7A08" w:rsidRPr="00A11FD1" w:rsidRDefault="004E7A08" w:rsidP="004E7A08">
      <w:pPr>
        <w:pStyle w:val="Nadpis2"/>
        <w:rPr>
          <w:rFonts w:asciiTheme="minorHAnsi" w:hAnsiTheme="minorHAnsi"/>
          <w:color w:val="365F91"/>
          <w:sz w:val="32"/>
          <w:szCs w:val="32"/>
        </w:rPr>
      </w:pPr>
      <w:bookmarkStart w:id="79" w:name="_Toc531945842"/>
      <w:r w:rsidRPr="00A11FD1">
        <w:rPr>
          <w:rFonts w:asciiTheme="minorHAnsi" w:hAnsiTheme="minorHAnsi"/>
          <w:color w:val="365F91"/>
          <w:sz w:val="32"/>
          <w:szCs w:val="32"/>
        </w:rPr>
        <w:t>Prideľovanie projektov hodnotiteľom</w:t>
      </w:r>
      <w:bookmarkEnd w:id="79"/>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del w:id="80" w:author="Autor">
        <w:r w:rsidR="00153322" w:rsidDel="00121C98">
          <w:rPr>
            <w:rFonts w:asciiTheme="minorHAnsi" w:hAnsiTheme="minorHAnsi"/>
            <w:sz w:val="24"/>
            <w:szCs w:val="24"/>
          </w:rPr>
          <w:delText>6</w:delText>
        </w:r>
        <w:r w:rsidR="00153322" w:rsidRPr="00A82792" w:rsidDel="00121C98">
          <w:rPr>
            <w:rFonts w:asciiTheme="minorHAnsi" w:hAnsiTheme="minorHAnsi"/>
            <w:sz w:val="24"/>
            <w:szCs w:val="24"/>
          </w:rPr>
          <w:delText xml:space="preserve"> </w:delText>
        </w:r>
      </w:del>
      <w:ins w:id="81" w:author="Autor">
        <w:r w:rsidR="00121C98">
          <w:rPr>
            <w:rFonts w:asciiTheme="minorHAnsi" w:hAnsiTheme="minorHAnsi"/>
            <w:sz w:val="24"/>
            <w:szCs w:val="24"/>
          </w:rPr>
          <w:t>3</w:t>
        </w:r>
        <w:r w:rsidR="00121C98" w:rsidRPr="00A82792">
          <w:rPr>
            <w:rFonts w:asciiTheme="minorHAnsi" w:hAnsiTheme="minorHAnsi"/>
            <w:sz w:val="24"/>
            <w:szCs w:val="24"/>
          </w:rPr>
          <w:t xml:space="preserve"> </w:t>
        </w:r>
      </w:ins>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r w:rsidR="00153322" w:rsidRPr="003E5EF4">
        <w:rPr>
          <w:rFonts w:asciiTheme="minorHAnsi" w:hAnsiTheme="minorHAnsi"/>
          <w:sz w:val="24"/>
          <w:szCs w:val="24"/>
        </w:rPr>
        <w:t xml:space="preserve">Do nasadenia automatického náhodného výberu odborných hodnotiteľov a náhodného priraďovania ŽoNFP odborným hodnotiteľom prostredníctvom ITMS 2014+ </w:t>
      </w:r>
      <w:r w:rsidR="00F17F50">
        <w:rPr>
          <w:rFonts w:asciiTheme="minorHAnsi" w:hAnsiTheme="minorHAnsi"/>
          <w:sz w:val="24"/>
          <w:szCs w:val="24"/>
        </w:rPr>
        <w:t xml:space="preserve">alebo v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w:t>
      </w:r>
      <w:r w:rsidRPr="00A11FD1">
        <w:rPr>
          <w:rFonts w:asciiTheme="minorHAnsi" w:hAnsiTheme="minorHAnsi" w:cs="Times New Roman"/>
          <w:noProof/>
          <w:color w:val="auto"/>
          <w:lang w:eastAsia="en-US"/>
        </w:rPr>
        <w:lastRenderedPageBreak/>
        <w:t>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350A1F">
        <w:rPr>
          <w:rFonts w:asciiTheme="minorHAnsi" w:hAnsiTheme="minorHAnsi" w:cs="Times New Roman"/>
          <w:noProof/>
          <w:color w:val="auto"/>
          <w:lang w:eastAsia="en-US"/>
        </w:rPr>
        <w:t>zápisnica zo žrebovania,</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82" w:name="_Toc531945843"/>
      <w:r w:rsidRPr="00A11FD1">
        <w:rPr>
          <w:rFonts w:asciiTheme="minorHAnsi" w:hAnsiTheme="minorHAnsi"/>
          <w:color w:val="365F91"/>
          <w:sz w:val="32"/>
          <w:szCs w:val="32"/>
        </w:rPr>
        <w:t>Rámcový popis výkonu odborného hodnotenia</w:t>
      </w:r>
      <w:bookmarkEnd w:id="82"/>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lastRenderedPageBreak/>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ins w:id="83" w:author="Autor">
        <w:r w:rsidR="003C70C1" w:rsidRPr="00005316">
          <w:rPr>
            <w:rFonts w:asciiTheme="minorHAnsi" w:hAnsiTheme="minorHAnsi"/>
            <w:sz w:val="24"/>
            <w:szCs w:val="24"/>
            <w:rPrChange w:id="84" w:author="Autor">
              <w:rPr>
                <w:rFonts w:asciiTheme="minorHAnsi" w:hAnsiTheme="minorHAnsi" w:cs="Aharoni"/>
                <w:i/>
                <w:noProof w:val="0"/>
                <w:szCs w:val="22"/>
              </w:rPr>
            </w:rPrChange>
          </w:rPr>
          <w:t xml:space="preserve">Za účelom dodatočného preukázania vyhodnotenia </w:t>
        </w:r>
        <w:r w:rsidR="003C70C1">
          <w:rPr>
            <w:rFonts w:asciiTheme="minorHAnsi" w:hAnsiTheme="minorHAnsi"/>
            <w:sz w:val="24"/>
            <w:szCs w:val="24"/>
          </w:rPr>
          <w:t xml:space="preserve">jednotlivých </w:t>
        </w:r>
        <w:r w:rsidR="003C70C1" w:rsidRPr="00005316">
          <w:rPr>
            <w:rFonts w:asciiTheme="minorHAnsi" w:hAnsiTheme="minorHAnsi"/>
            <w:sz w:val="24"/>
            <w:szCs w:val="24"/>
            <w:rPrChange w:id="85" w:author="Autor">
              <w:rPr>
                <w:rFonts w:asciiTheme="minorHAnsi" w:hAnsiTheme="minorHAnsi" w:cs="Aharoni"/>
                <w:i/>
                <w:noProof w:val="0"/>
                <w:szCs w:val="22"/>
              </w:rPr>
            </w:rPrChange>
          </w:rPr>
          <w:t>kritéri</w:t>
        </w:r>
        <w:r w:rsidR="003C70C1">
          <w:rPr>
            <w:rFonts w:asciiTheme="minorHAnsi" w:hAnsiTheme="minorHAnsi"/>
            <w:sz w:val="24"/>
            <w:szCs w:val="24"/>
          </w:rPr>
          <w:t>í</w:t>
        </w:r>
        <w:r w:rsidR="003C70C1" w:rsidRPr="00005316">
          <w:rPr>
            <w:rFonts w:asciiTheme="minorHAnsi" w:hAnsiTheme="minorHAnsi"/>
            <w:sz w:val="24"/>
            <w:szCs w:val="24"/>
            <w:rPrChange w:id="86" w:author="Autor">
              <w:rPr>
                <w:rFonts w:asciiTheme="minorHAnsi" w:hAnsiTheme="minorHAnsi" w:cs="Aharoni"/>
                <w:i/>
                <w:noProof w:val="0"/>
                <w:szCs w:val="22"/>
              </w:rPr>
            </w:rPrChange>
          </w:rPr>
          <w:t xml:space="preserve"> je hodnotiteľ povinný uchovávať dostatočnú podpornú dokumentáciu (PRNT SCRN, výpočty, web odkaz na link, fotografie...) </w:t>
        </w:r>
        <w:r w:rsidR="003C70C1">
          <w:rPr>
            <w:rFonts w:asciiTheme="minorHAnsi" w:hAnsiTheme="minorHAnsi"/>
            <w:sz w:val="24"/>
            <w:szCs w:val="24"/>
          </w:rPr>
          <w:t>na základe ktorej dospel k výsledku vyhodnotenia jednotlivých hodnotiacich kritérií.</w:t>
        </w:r>
        <w:r w:rsidR="003C70C1" w:rsidRPr="00005316">
          <w:rPr>
            <w:rFonts w:asciiTheme="minorHAnsi" w:hAnsiTheme="minorHAnsi"/>
            <w:sz w:val="24"/>
            <w:szCs w:val="24"/>
            <w:rPrChange w:id="87" w:author="Autor">
              <w:rPr>
                <w:rFonts w:asciiTheme="minorHAnsi" w:hAnsiTheme="minorHAnsi" w:cs="Aharoni"/>
                <w:i/>
                <w:noProof w:val="0"/>
                <w:szCs w:val="22"/>
              </w:rPr>
            </w:rPrChange>
          </w:rPr>
          <w:t>.</w:t>
        </w:r>
      </w:ins>
    </w:p>
    <w:p w:rsidR="0040510B" w:rsidRPr="00A11FD1" w:rsidRDefault="0040510B" w:rsidP="008A0385">
      <w:pPr>
        <w:spacing w:after="120"/>
        <w:contextualSpacing/>
        <w:jc w:val="both"/>
        <w:rPr>
          <w:rFonts w:asciiTheme="minorHAnsi" w:hAnsiTheme="minorHAnsi"/>
          <w:sz w:val="24"/>
          <w:szCs w:val="24"/>
        </w:rPr>
      </w:pPr>
    </w:p>
    <w:p w:rsidR="005C010C" w:rsidRDefault="00383FF5" w:rsidP="008F22B7">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3E5EF4">
        <w:rPr>
          <w:rFonts w:asciiTheme="minorHAnsi" w:hAnsiTheme="minorHAnsi"/>
          <w:b/>
          <w:sz w:val="24"/>
          <w:szCs w:val="24"/>
        </w:rPr>
        <w:t xml:space="preserve">spoločný </w:t>
      </w:r>
      <w:r w:rsidR="00FA04A4" w:rsidRPr="003E5EF4">
        <w:rPr>
          <w:rFonts w:asciiTheme="minorHAnsi" w:hAnsiTheme="minorHAnsi"/>
          <w:b/>
          <w:sz w:val="24"/>
          <w:szCs w:val="24"/>
        </w:rPr>
        <w:t>hodnotiaci hárok</w:t>
      </w:r>
      <w:r w:rsidR="0055728B" w:rsidRPr="003E5EF4">
        <w:rPr>
          <w:rFonts w:asciiTheme="minorHAnsi" w:hAnsiTheme="minorHAnsi"/>
          <w:b/>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5C010C" w:rsidRDefault="005C010C" w:rsidP="00D55D89">
      <w:pPr>
        <w:jc w:val="both"/>
        <w:rPr>
          <w:rFonts w:asciiTheme="minorHAnsi" w:hAnsiTheme="minorHAnsi"/>
          <w:sz w:val="24"/>
          <w:szCs w:val="24"/>
        </w:rPr>
      </w:pPr>
    </w:p>
    <w:p w:rsidR="005C010C"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50A1F" w:rsidRDefault="00350A1F" w:rsidP="008F22B7">
      <w:pPr>
        <w:spacing w:after="120"/>
        <w:contextualSpacing/>
        <w:jc w:val="both"/>
        <w:rPr>
          <w:rFonts w:asciiTheme="minorHAnsi" w:hAnsiTheme="minorHAnsi"/>
          <w:sz w:val="24"/>
          <w:szCs w:val="24"/>
        </w:rPr>
      </w:pPr>
    </w:p>
    <w:p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RO OP TP vloží spoločný hodnotiaci hárok podpísaný oboma odbornými hodnotiteľmi do ITMS 2014+ (dostupný len na neverejnej časti ITMS2014+) ako aj spoločný hodnotiaci hárok bez identifikácie odborných hodnotiteľov</w:t>
      </w:r>
      <w:r w:rsidRPr="003E5EF4">
        <w:rPr>
          <w:rFonts w:asciiTheme="minorHAnsi" w:hAnsiTheme="minorHAnsi"/>
          <w:sz w:val="24"/>
          <w:szCs w:val="24"/>
          <w:vertAlign w:val="superscript"/>
        </w:rPr>
        <w:footnoteReference w:id="4"/>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pdf.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„Spolocny_hodnotiaci_harok“</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dostupný  bez obmedzení tj. na verejnej aj neverejnej časti ITMS2014+).</w:t>
      </w:r>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w:t>
      </w:r>
      <w:r w:rsidR="00451261" w:rsidRPr="00A11FD1">
        <w:rPr>
          <w:rFonts w:asciiTheme="minorHAnsi" w:hAnsiTheme="minorHAnsi"/>
          <w:sz w:val="24"/>
          <w:szCs w:val="24"/>
        </w:rPr>
        <w:lastRenderedPageBreak/>
        <w:t xml:space="preserve">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350A1F" w:rsidRDefault="00350A1F" w:rsidP="00D55D89">
      <w:pPr>
        <w:pStyle w:val="Zkladntext"/>
        <w:spacing w:before="0" w:after="120"/>
        <w:contextualSpacing/>
        <w:rPr>
          <w:rFonts w:asciiTheme="minorHAnsi" w:hAnsiTheme="minorHAnsi"/>
          <w:sz w:val="24"/>
          <w:szCs w:val="24"/>
        </w:rPr>
      </w:pPr>
    </w:p>
    <w:p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rsidR="00350A1F" w:rsidRPr="003E5EF4" w:rsidRDefault="00350A1F" w:rsidP="003E5EF4">
      <w:pPr>
        <w:pStyle w:val="Zkladntext"/>
        <w:spacing w:before="0" w:after="120"/>
        <w:contextualSpacing/>
        <w:rPr>
          <w:rFonts w:asciiTheme="minorHAnsi" w:hAnsiTheme="minorHAnsi"/>
          <w:sz w:val="24"/>
          <w:szCs w:val="24"/>
        </w:rPr>
      </w:pPr>
    </w:p>
    <w:p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rsidR="00350A1F" w:rsidRPr="003E5EF4"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Hodnotiaci hárok je vyplnený vo všetkých povinných poliach</w:t>
      </w:r>
    </w:p>
    <w:p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Pr>
          <w:rFonts w:asciiTheme="minorHAnsi" w:hAnsiTheme="minorHAnsi"/>
          <w:sz w:val="24"/>
          <w:szCs w:val="24"/>
        </w:rPr>
        <w:t>Hodnotiteľ dodržal termín na uskutočnenie odborného hodnotenia</w:t>
      </w:r>
    </w:p>
    <w:p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t>V prípade opakovaných nedostatkov je RO OP TP oprávnený vylúčiť odborného hodnotiteľa z procesu hodnotenia žiadostí o NFP odvolaním v zmysle kapitoly 2.2.</w:t>
      </w:r>
    </w:p>
    <w:p w:rsidR="00FC6E97" w:rsidRPr="00A11FD1" w:rsidRDefault="00FC6E97" w:rsidP="005F0B2A">
      <w:pPr>
        <w:pStyle w:val="Zkladntext"/>
        <w:spacing w:before="0" w:after="120"/>
        <w:contextualSpacing/>
        <w:rP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 xml:space="preserve">vkladá do ITMS2014+ ku každému vvzvaniu zoznam odborných hodnotiteľov vyzvania, ktorí ŽoNFP hodnotili (vo formáte PDF, v súlade s Výnosom MF SR </w:t>
      </w:r>
      <w:r w:rsidRPr="003E5EF4">
        <w:rPr>
          <w:rFonts w:asciiTheme="minorHAnsi" w:hAnsiTheme="minorHAnsi"/>
          <w:sz w:val="24"/>
          <w:szCs w:val="24"/>
        </w:rPr>
        <w:lastRenderedPageBreak/>
        <w:t>o informačných systémoch verejnej správy, bez identifikácie ŽoNFP, ktoré hodnotili jednotliví odborní hodnotitelia) v rozsahu titul, meno, priezvisko</w:t>
      </w:r>
      <w:r w:rsidRPr="00C169D4">
        <w:rPr>
          <w:rFonts w:ascii="Calibri" w:hAnsi="Calibri"/>
          <w:sz w:val="20"/>
          <w:szCs w:val="24"/>
          <w:vertAlign w:val="superscript"/>
        </w:rPr>
        <w:footnoteReference w:id="5"/>
      </w:r>
      <w:r w:rsidR="00BC7C70">
        <w:rPr>
          <w:rFonts w:asciiTheme="minorHAnsi" w:hAnsiTheme="minorHAnsi"/>
          <w:sz w:val="24"/>
          <w:szCs w:val="24"/>
        </w:rPr>
        <w:t>.</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88" w:name="_Toc531945844"/>
      <w:r w:rsidRPr="00A11FD1">
        <w:rPr>
          <w:rFonts w:asciiTheme="minorHAnsi" w:hAnsiTheme="minorHAnsi"/>
          <w:color w:val="365F91"/>
          <w:sz w:val="40"/>
          <w:szCs w:val="40"/>
        </w:rPr>
        <w:lastRenderedPageBreak/>
        <w:t>Kritériá odborného hodnotenia a inštrukcie k ich aplikácii</w:t>
      </w:r>
      <w:bookmarkEnd w:id="88"/>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4"/>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89" w:name="_Toc531945845"/>
      <w:r w:rsidRPr="00A11FD1">
        <w:rPr>
          <w:rFonts w:asciiTheme="minorHAnsi" w:hAnsiTheme="minorHAnsi"/>
          <w:color w:val="365F91"/>
          <w:sz w:val="32"/>
          <w:szCs w:val="32"/>
        </w:rPr>
        <w:lastRenderedPageBreak/>
        <w:t>Hodnotiace kritériá pre projekty technickej pomoci</w:t>
      </w:r>
      <w:bookmarkEnd w:id="89"/>
    </w:p>
    <w:p w:rsidR="00202208" w:rsidRPr="00A11FD1" w:rsidRDefault="00202208" w:rsidP="00202208">
      <w:pPr>
        <w:pStyle w:val="Nadpis3"/>
        <w:rPr>
          <w:rFonts w:asciiTheme="minorHAnsi" w:hAnsiTheme="minorHAnsi"/>
          <w:color w:val="365F91"/>
          <w:sz w:val="28"/>
          <w:szCs w:val="28"/>
        </w:rPr>
      </w:pPr>
      <w:bookmarkStart w:id="90" w:name="_Toc53194584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90"/>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91" w:name="_Toc53194584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91"/>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6"/>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e 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 xml:space="preserve">výdavkov, v tomto prípade hodnotiteľ overí, či je v predloženej dokumentácii uvedené, že nedôjde k nárokovaniu tých istých výdavkov v rámci dotknutých projektov, ak to nie je výslovne uvedené v žiadosti o NFP. </w:t>
            </w:r>
          </w:p>
          <w:p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rsidR="00E440D4" w:rsidRDefault="00E440D4" w:rsidP="00FB0557">
            <w:pPr>
              <w:pStyle w:val="Zkladntext"/>
              <w:spacing w:before="0" w:after="0"/>
              <w:rPr>
                <w:rFonts w:asciiTheme="minorHAnsi" w:hAnsiTheme="minorHAnsi"/>
                <w:b/>
                <w:i/>
                <w:color w:val="000000"/>
                <w:szCs w:val="22"/>
                <w:lang w:eastAsia="sk-SK"/>
              </w:rPr>
            </w:pP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 xml:space="preserve">Spôsob realizácie </w:t>
            </w:r>
            <w:r w:rsidRPr="00FB0557">
              <w:rPr>
                <w:rFonts w:asciiTheme="minorHAnsi" w:hAnsiTheme="minorHAnsi"/>
                <w:sz w:val="20"/>
              </w:rPr>
              <w:lastRenderedPageBreak/>
              <w:t>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 xml:space="preserve">Reálnosť aktivít projektu vo vzťahu k </w:t>
            </w:r>
            <w:r w:rsidRPr="00750B43">
              <w:rPr>
                <w:rFonts w:asciiTheme="minorHAnsi" w:hAnsiTheme="minorHAnsi"/>
                <w:color w:val="000000"/>
                <w:sz w:val="20"/>
                <w:lang w:eastAsia="sk-SK"/>
              </w:rPr>
              <w:lastRenderedPageBreak/>
              <w:t>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w:t>
            </w:r>
            <w:r w:rsidRPr="0047050D">
              <w:rPr>
                <w:rFonts w:asciiTheme="minorHAnsi" w:hAnsiTheme="minorHAnsi"/>
                <w:color w:val="000000"/>
                <w:sz w:val="20"/>
              </w:rPr>
              <w:lastRenderedPageBreak/>
              <w:t>projektu (hlavných aj podporných). Predmetom hodnotenia je posúdenie, či etapizácia aktivít je:</w:t>
            </w:r>
          </w:p>
          <w:p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 xml:space="preserve">môže mať </w:t>
            </w:r>
            <w:r w:rsidRPr="00CC1D5F">
              <w:rPr>
                <w:rFonts w:asciiTheme="minorHAnsi" w:hAnsiTheme="minorHAnsi"/>
                <w:color w:val="000000"/>
                <w:sz w:val="20"/>
              </w:rPr>
              <w:lastRenderedPageBreak/>
              <w:t>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w:t>
            </w:r>
            <w:r w:rsidRPr="00750B43">
              <w:rPr>
                <w:rFonts w:asciiTheme="minorHAnsi" w:hAnsiTheme="minorHAnsi"/>
                <w:i/>
                <w:szCs w:val="22"/>
                <w:lang w:eastAsia="sk-SK"/>
              </w:rPr>
              <w:lastRenderedPageBreak/>
              <w:t xml:space="preserve">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0C2E0A">
            <w:pPr>
              <w:pStyle w:val="Zkladntext"/>
              <w:numPr>
                <w:ilvl w:val="0"/>
                <w:numId w:val="27"/>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 xml:space="preserve">Vhodnosť a uskutočniteľnosť aktivít projektu z </w:t>
            </w:r>
            <w:r w:rsidRPr="00750B43">
              <w:rPr>
                <w:rFonts w:asciiTheme="minorHAnsi" w:hAnsiTheme="minorHAnsi"/>
                <w:sz w:val="20"/>
                <w:lang w:eastAsia="sk-SK"/>
              </w:rPr>
              <w:lastRenderedPageBreak/>
              <w:t>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 xml:space="preserve">a z toho </w:t>
            </w:r>
            <w:r w:rsidRPr="0047050D">
              <w:rPr>
                <w:rFonts w:asciiTheme="minorHAnsi" w:hAnsiTheme="minorHAnsi"/>
                <w:color w:val="000000"/>
                <w:sz w:val="20"/>
              </w:rPr>
              <w:lastRenderedPageBreak/>
              <w:t>vyplývajúca:</w:t>
            </w:r>
          </w:p>
          <w:p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0C2E0A">
            <w:pPr>
              <w:pStyle w:val="Zkladntext"/>
              <w:numPr>
                <w:ilvl w:val="0"/>
                <w:numId w:val="25"/>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w:t>
            </w:r>
            <w:r w:rsidRPr="002D27E5">
              <w:rPr>
                <w:rFonts w:asciiTheme="minorHAnsi" w:hAnsiTheme="minorHAnsi"/>
                <w:sz w:val="20"/>
                <w:lang w:eastAsia="sk-SK"/>
              </w:rPr>
              <w:lastRenderedPageBreak/>
              <w:t xml:space="preserve">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lastRenderedPageBreak/>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92" w:name="_Toc53194584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92"/>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93"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 xml:space="preserve">Neposudzuje sa v prípade ústredných </w:t>
            </w:r>
            <w:r w:rsidRPr="007B2402">
              <w:rPr>
                <w:rFonts w:asciiTheme="minorHAnsi" w:hAnsiTheme="minorHAnsi"/>
                <w:color w:val="000000"/>
                <w:sz w:val="20"/>
                <w:lang w:eastAsia="sk-SK"/>
              </w:rPr>
              <w:lastRenderedPageBreak/>
              <w:t>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0C2E0A">
            <w:pPr>
              <w:pStyle w:val="Odsekzoznamu"/>
              <w:numPr>
                <w:ilvl w:val="0"/>
                <w:numId w:val="29"/>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0C2E0A">
            <w:pPr>
              <w:pStyle w:val="Odsekzoznamu"/>
              <w:numPr>
                <w:ilvl w:val="0"/>
                <w:numId w:val="29"/>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94" w:name="_Toc531945849"/>
      <w:r w:rsidRPr="00A11FD1">
        <w:rPr>
          <w:rFonts w:asciiTheme="minorHAnsi" w:hAnsiTheme="minorHAnsi"/>
          <w:color w:val="365F91"/>
          <w:sz w:val="28"/>
          <w:szCs w:val="28"/>
        </w:rPr>
        <w:t>Finančná a ekonomická stránka projektu</w:t>
      </w:r>
      <w:bookmarkEnd w:id="93"/>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94"/>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lastRenderedPageBreak/>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0C2E0A">
            <w:pPr>
              <w:pStyle w:val="Odsekzoznamu"/>
              <w:numPr>
                <w:ilvl w:val="0"/>
                <w:numId w:val="15"/>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0C2E0A">
            <w:pPr>
              <w:pStyle w:val="Odsekzoznamu"/>
              <w:numPr>
                <w:ilvl w:val="0"/>
                <w:numId w:val="15"/>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077CA9" w:rsidRPr="00E3187F" w:rsidRDefault="004723FD" w:rsidP="00077CA9">
            <w:pPr>
              <w:rPr>
                <w:rFonts w:asciiTheme="minorHAnsi" w:hAnsiTheme="minorHAnsi"/>
                <w:i/>
                <w:noProof w:val="0"/>
                <w:szCs w:val="22"/>
                <w:lang w:eastAsia="sk-SK"/>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w:t>
            </w:r>
            <w:r w:rsidR="00077CA9" w:rsidRPr="00077CA9">
              <w:rPr>
                <w:rFonts w:asciiTheme="minorHAnsi" w:hAnsiTheme="minorHAnsi"/>
                <w:i/>
                <w:noProof w:val="0"/>
                <w:szCs w:val="22"/>
                <w:lang w:eastAsia="sk-SK"/>
              </w:rPr>
              <w:t xml:space="preserve">Hodnotiteľ </w:t>
            </w:r>
            <w:r w:rsidR="00077CA9" w:rsidRPr="00E3187F">
              <w:rPr>
                <w:rFonts w:asciiTheme="minorHAnsi" w:hAnsiTheme="minorHAnsi"/>
                <w:i/>
                <w:noProof w:val="0"/>
                <w:szCs w:val="22"/>
                <w:lang w:eastAsia="sk-SK"/>
              </w:rPr>
              <w:t>zaznamená v hodnotiacom hárku spôsob preverenia výdavkov uvedených v ŽoNFP a spôsob preverenia možného prekrývania sa výdavkov s inými podobnými projektami financovanými z fondov EÚ.</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55213">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Posudzuje sa, či navrhnuté výdavky projektu spĺňajú podmienku hospodárnosti a efektívnosti a či zodpovedajú obvyklým cenám v danom mieste a čase. Uvedené sa overuje prostredníctvom stanovených benchmarkov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0C2E0A">
            <w:pPr>
              <w:pStyle w:val="Zkladntext"/>
              <w:numPr>
                <w:ilvl w:val="0"/>
                <w:numId w:val="14"/>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5"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0C2E0A">
            <w:pPr>
              <w:pStyle w:val="Zkladntext"/>
              <w:numPr>
                <w:ilvl w:val="0"/>
                <w:numId w:val="16"/>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0C2E0A">
            <w:pPr>
              <w:pStyle w:val="Zkladntext"/>
              <w:numPr>
                <w:ilvl w:val="0"/>
                <w:numId w:val="16"/>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0C2E0A">
            <w:pPr>
              <w:pStyle w:val="Zkladntext"/>
              <w:numPr>
                <w:ilvl w:val="0"/>
                <w:numId w:val="14"/>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w:t>
            </w:r>
            <w:r w:rsidRPr="00750B43">
              <w:rPr>
                <w:rFonts w:asciiTheme="minorHAnsi" w:hAnsiTheme="minorHAnsi" w:cs="Aharoni"/>
                <w:i/>
                <w:noProof w:val="0"/>
                <w:szCs w:val="22"/>
              </w:rPr>
              <w:lastRenderedPageBreak/>
              <w:t xml:space="preserve">hodnotiteľ zníži túto položku  a žiadosť postupuje do ďalšieho hodnotenia.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FE7681">
              <w:rPr>
                <w:rFonts w:asciiTheme="minorHAnsi" w:hAnsiTheme="minorHAnsi" w:cs="Aharoni"/>
                <w:i/>
                <w:noProof w:val="0"/>
                <w:szCs w:val="22"/>
              </w:rPr>
              <w:t>.</w:t>
            </w:r>
          </w:p>
          <w:p w:rsidR="004723FD" w:rsidRDefault="006D3F56" w:rsidP="00411959">
            <w:pPr>
              <w:jc w:val="both"/>
              <w:rPr>
                <w:ins w:id="95" w:author="Auto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DA60CB" w:rsidRDefault="00DA60CB" w:rsidP="00411959">
            <w:pPr>
              <w:jc w:val="both"/>
              <w:rPr>
                <w:rFonts w:asciiTheme="minorHAnsi" w:hAnsiTheme="minorHAnsi"/>
                <w:i/>
                <w:noProof w:val="0"/>
                <w:szCs w:val="22"/>
                <w:lang w:eastAsia="sk-SK"/>
              </w:rPr>
            </w:pPr>
            <w:ins w:id="96" w:author="Autor">
              <w:r>
                <w:rPr>
                  <w:rFonts w:asciiTheme="minorHAnsi" w:hAnsiTheme="minorHAnsi"/>
                  <w:i/>
                  <w:noProof w:val="0"/>
                  <w:szCs w:val="22"/>
                  <w:lang w:eastAsia="sk-SK"/>
                </w:rPr>
                <w:t>V prípade obstarávania poradenských služieb hodnotiteľ overí spôsob stanovenia metodiky výpočtu počtu hodín potrebných na jednotlivé oblasti požadovaných služieb ako aj počet procesov, ktoré boli vstupným údajom pre výpočet osobohodín.</w:t>
              </w:r>
            </w:ins>
          </w:p>
          <w:p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Hodnotiteľ uvedie v hodnotiacom hárku úplný komentár k posúdeniu rozpočtu projektu aj v prípade, že žiadaná suma je nižšia ako cena uvedená v dodávateľskej zmluve. V prípade, že pomocné výpočty nie sú súčasťou ŽoNFP, vyžiada si ich prostredníctvom RO OP TP od žiadateľa.</w:t>
            </w:r>
            <w:ins w:id="97" w:author="Autor">
              <w:r w:rsidR="003C70C1">
                <w:rPr>
                  <w:rFonts w:asciiTheme="minorHAnsi" w:hAnsiTheme="minorHAnsi" w:cs="Aharoni"/>
                  <w:i/>
                  <w:noProof w:val="0"/>
                  <w:szCs w:val="22"/>
                </w:rPr>
                <w:t xml:space="preserve"> Za účelom dodatočného preukázania vyhodnotenia tohto kritéria je hodnotiteľ povinný uchovávať dostatočnú podpornú dokumentáciu (PRNT SCRN, výpočty, web odkaz na link, fotografie...) k overeným skutočnostiam.</w:t>
              </w:r>
            </w:ins>
          </w:p>
          <w:p w:rsidR="005F6049" w:rsidRDefault="005F6049"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98" w:name="_Toc531945850"/>
      <w:r w:rsidRPr="00683C38">
        <w:rPr>
          <w:rFonts w:asciiTheme="minorHAnsi" w:hAnsiTheme="minorHAnsi"/>
          <w:color w:val="365F91"/>
          <w:sz w:val="40"/>
          <w:szCs w:val="40"/>
        </w:rPr>
        <w:lastRenderedPageBreak/>
        <w:t>Prílohy</w:t>
      </w:r>
      <w:bookmarkEnd w:id="98"/>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6</w:t>
      </w:r>
      <w:r w:rsidR="00CA3DCB">
        <w:rPr>
          <w:rFonts w:asciiTheme="minorHAnsi" w:hAnsiTheme="minorHAnsi"/>
          <w:sz w:val="24"/>
          <w:szCs w:val="24"/>
        </w:rPr>
        <w:t xml:space="preserve"> a</w:t>
      </w:r>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rsidR="00CA3DCB" w:rsidRPr="00683C38" w:rsidRDefault="00CA3DCB" w:rsidP="00CA3DCB">
      <w:pPr>
        <w:spacing w:after="120"/>
        <w:jc w:val="both"/>
        <w:rPr>
          <w:rFonts w:asciiTheme="minorHAnsi" w:hAnsiTheme="minorHAnsi"/>
          <w:sz w:val="24"/>
          <w:szCs w:val="24"/>
        </w:rPr>
      </w:pPr>
      <w:r w:rsidRPr="00683C38">
        <w:rPr>
          <w:rFonts w:asciiTheme="minorHAnsi" w:hAnsiTheme="minorHAnsi"/>
          <w:sz w:val="24"/>
          <w:szCs w:val="24"/>
        </w:rPr>
        <w:t xml:space="preserve">Príloha č. 6 </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71"/>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3" w:author="Autor" w:initials="A">
    <w:p w:rsidR="003C70C1" w:rsidRDefault="003C70C1">
      <w:pPr>
        <w:pStyle w:val="Textkomentra"/>
      </w:pPr>
      <w:r>
        <w:rPr>
          <w:rStyle w:val="Odkaznakomentr"/>
        </w:rPr>
        <w:annotationRef/>
      </w:r>
      <w:r>
        <w:t>Odstrániť z dôvodu zaradenia procesov do IMP</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0C1" w:rsidRDefault="003C70C1">
      <w:r>
        <w:separator/>
      </w:r>
    </w:p>
  </w:endnote>
  <w:endnote w:type="continuationSeparator" w:id="0">
    <w:p w:rsidR="003C70C1" w:rsidRDefault="003C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183464"/>
      <w:docPartObj>
        <w:docPartGallery w:val="Page Numbers (Bottom of Page)"/>
        <w:docPartUnique/>
      </w:docPartObj>
    </w:sdtPr>
    <w:sdtEndPr/>
    <w:sdtContent>
      <w:p w:rsidR="003C70C1" w:rsidRDefault="003C70C1">
        <w:pPr>
          <w:pStyle w:val="Pta"/>
          <w:jc w:val="center"/>
        </w:pPr>
        <w:r>
          <w:fldChar w:fldCharType="begin"/>
        </w:r>
        <w:r>
          <w:instrText>PAGE   \* MERGEFORMAT</w:instrText>
        </w:r>
        <w:r>
          <w:fldChar w:fldCharType="separate"/>
        </w:r>
        <w:r w:rsidR="00D744A2">
          <w:t>5</w:t>
        </w:r>
        <w:r>
          <w:fldChar w:fldCharType="end"/>
        </w:r>
      </w:p>
    </w:sdtContent>
  </w:sdt>
  <w:p w:rsidR="003C70C1" w:rsidRDefault="003C70C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C1" w:rsidRDefault="003C70C1">
    <w:pPr>
      <w:pStyle w:val="Pta"/>
      <w:framePr w:hSpace="181" w:wrap="around" w:vAnchor="text" w:hAnchor="text" w:xAlign="right" w:y="1"/>
    </w:pPr>
    <w:r>
      <w:rPr>
        <w:rStyle w:val="slostrany"/>
      </w:rPr>
      <w:pgNum/>
    </w:r>
  </w:p>
  <w:p w:rsidR="003C70C1" w:rsidRDefault="003C70C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0C1" w:rsidRDefault="003C70C1">
      <w:r>
        <w:separator/>
      </w:r>
    </w:p>
  </w:footnote>
  <w:footnote w:type="continuationSeparator" w:id="0">
    <w:p w:rsidR="003C70C1" w:rsidRDefault="003C70C1">
      <w:r>
        <w:continuationSeparator/>
      </w:r>
    </w:p>
  </w:footnote>
  <w:footnote w:id="1">
    <w:p w:rsidR="003C70C1" w:rsidRPr="000537B4" w:rsidRDefault="003C70C1"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3C70C1" w:rsidRPr="000537B4" w:rsidRDefault="003C70C1"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3C70C1" w:rsidRDefault="003C70C1"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3C70C1" w:rsidRPr="003F3C91" w:rsidRDefault="003C70C1" w:rsidP="00350A1F">
      <w:pPr>
        <w:pStyle w:val="Textpoznmkypodiarou"/>
      </w:pPr>
      <w:r>
        <w:rPr>
          <w:rStyle w:val="Odkaznapoznmkupodiarou"/>
        </w:rPr>
        <w:footnoteRef/>
      </w:r>
      <w:r>
        <w:t xml:space="preserve"> Hodnotiace hárky ŽoNFP vypracované pred termínom28.11.2017, nie je RO OP TP povinný dodatočne vložiť do ITMS 2014+</w:t>
      </w:r>
    </w:p>
  </w:footnote>
  <w:footnote w:id="5">
    <w:p w:rsidR="003C70C1" w:rsidRDefault="003C70C1" w:rsidP="00FC6E97">
      <w:pPr>
        <w:pStyle w:val="Textpoznmkypodiarou"/>
        <w:jc w:val="both"/>
      </w:pPr>
      <w:r>
        <w:rPr>
          <w:rStyle w:val="Odkaznapoznmkupodiarou"/>
        </w:rPr>
        <w:footnoteRef/>
      </w:r>
      <w:r>
        <w:t xml:space="preserve"> Údaje o odborných hodnotiteľoch, ktorí hodnotili ŽoNFP pred termínom, 28.11.2017, nie je RO OP TP povinný dodatočne vložiť do ITMS 2014+.</w:t>
      </w:r>
      <w:r w:rsidRPr="00FC0BBE">
        <w:t xml:space="preserve"> </w:t>
      </w:r>
    </w:p>
  </w:footnote>
  <w:footnote w:id="6">
    <w:p w:rsidR="003C70C1" w:rsidRDefault="003C70C1"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C1" w:rsidRPr="000C2E0A" w:rsidRDefault="003C70C1" w:rsidP="000C2E0A">
    <w:pPr>
      <w:pStyle w:val="Hlavika"/>
      <w:jc w:val="left"/>
      <w:rPr>
        <w:i w:val="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C1" w:rsidRDefault="003C70C1" w:rsidP="000C2E0A">
    <w:pPr>
      <w:pStyle w:val="Hlavika"/>
      <w:ind w:left="-426"/>
      <w:jc w:val="left"/>
    </w:pPr>
    <w:r w:rsidRPr="00071DCF">
      <w:rPr>
        <w:sz w:val="20"/>
        <w:lang w:eastAsia="sk-SK"/>
      </w:rPr>
      <w:drawing>
        <wp:inline distT="0" distB="0" distL="0" distR="0" wp14:anchorId="34061475" wp14:editId="684BA0CC">
          <wp:extent cx="542925" cy="72801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r>
      <w:rPr>
        <w:lang w:eastAsia="sk-SK"/>
      </w:rPr>
      <w:drawing>
        <wp:anchor distT="0" distB="182880" distL="114300" distR="114300" simplePos="0" relativeHeight="251661312" behindDoc="1" locked="0" layoutInCell="1" allowOverlap="1" wp14:anchorId="06568410" wp14:editId="40150C51">
          <wp:simplePos x="0" y="0"/>
          <wp:positionH relativeFrom="column">
            <wp:posOffset>4907280</wp:posOffset>
          </wp:positionH>
          <wp:positionV relativeFrom="paragraph">
            <wp:posOffset>-83820</wp:posOffset>
          </wp:positionV>
          <wp:extent cx="925830" cy="704850"/>
          <wp:effectExtent l="0" t="0" r="762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0C1" w:rsidRDefault="003C70C1" w:rsidP="000C2E0A">
    <w:pPr>
      <w:pStyle w:val="Hlavika"/>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C1" w:rsidRDefault="003C70C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0">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370C75A4"/>
    <w:multiLevelType w:val="multilevel"/>
    <w:tmpl w:val="C1D0F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7">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29"/>
  </w:num>
  <w:num w:numId="4">
    <w:abstractNumId w:val="1"/>
  </w:num>
  <w:num w:numId="5">
    <w:abstractNumId w:val="0"/>
  </w:num>
  <w:num w:numId="6">
    <w:abstractNumId w:val="4"/>
  </w:num>
  <w:num w:numId="7">
    <w:abstractNumId w:val="24"/>
  </w:num>
  <w:num w:numId="8">
    <w:abstractNumId w:val="9"/>
  </w:num>
  <w:num w:numId="9">
    <w:abstractNumId w:val="19"/>
  </w:num>
  <w:num w:numId="10">
    <w:abstractNumId w:val="3"/>
  </w:num>
  <w:num w:numId="11">
    <w:abstractNumId w:val="14"/>
  </w:num>
  <w:num w:numId="12">
    <w:abstractNumId w:val="18"/>
  </w:num>
  <w:num w:numId="13">
    <w:abstractNumId w:val="6"/>
  </w:num>
  <w:num w:numId="14">
    <w:abstractNumId w:val="25"/>
  </w:num>
  <w:num w:numId="15">
    <w:abstractNumId w:val="21"/>
  </w:num>
  <w:num w:numId="16">
    <w:abstractNumId w:val="27"/>
  </w:num>
  <w:num w:numId="17">
    <w:abstractNumId w:val="2"/>
  </w:num>
  <w:num w:numId="18">
    <w:abstractNumId w:val="22"/>
  </w:num>
  <w:num w:numId="19">
    <w:abstractNumId w:val="23"/>
  </w:num>
  <w:num w:numId="20">
    <w:abstractNumId w:val="20"/>
  </w:num>
  <w:num w:numId="21">
    <w:abstractNumId w:val="7"/>
  </w:num>
  <w:num w:numId="22">
    <w:abstractNumId w:val="11"/>
  </w:num>
  <w:num w:numId="23">
    <w:abstractNumId w:val="15"/>
  </w:num>
  <w:num w:numId="24">
    <w:abstractNumId w:val="13"/>
  </w:num>
  <w:num w:numId="25">
    <w:abstractNumId w:val="8"/>
  </w:num>
  <w:num w:numId="26">
    <w:abstractNumId w:val="26"/>
  </w:num>
  <w:num w:numId="27">
    <w:abstractNumId w:val="10"/>
  </w:num>
  <w:num w:numId="28">
    <w:abstractNumId w:val="5"/>
  </w:num>
  <w:num w:numId="29">
    <w:abstractNumId w:val="30"/>
  </w:num>
  <w:num w:numId="30">
    <w:abstractNumId w:val="16"/>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31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77CA9"/>
    <w:rsid w:val="00081332"/>
    <w:rsid w:val="00084318"/>
    <w:rsid w:val="0008442E"/>
    <w:rsid w:val="0008600E"/>
    <w:rsid w:val="000862B6"/>
    <w:rsid w:val="000873C7"/>
    <w:rsid w:val="000877F9"/>
    <w:rsid w:val="0009044D"/>
    <w:rsid w:val="00093A4D"/>
    <w:rsid w:val="00094118"/>
    <w:rsid w:val="000947F5"/>
    <w:rsid w:val="00096863"/>
    <w:rsid w:val="00097C94"/>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2E0A"/>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06D97"/>
    <w:rsid w:val="0011327D"/>
    <w:rsid w:val="00113450"/>
    <w:rsid w:val="001139ED"/>
    <w:rsid w:val="0011618D"/>
    <w:rsid w:val="00116688"/>
    <w:rsid w:val="00121C98"/>
    <w:rsid w:val="00122122"/>
    <w:rsid w:val="001310F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056D"/>
    <w:rsid w:val="00151A4D"/>
    <w:rsid w:val="00152660"/>
    <w:rsid w:val="00152AD3"/>
    <w:rsid w:val="00153322"/>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2EE5"/>
    <w:rsid w:val="002270CC"/>
    <w:rsid w:val="00230272"/>
    <w:rsid w:val="0023155D"/>
    <w:rsid w:val="00232063"/>
    <w:rsid w:val="0023531E"/>
    <w:rsid w:val="00237D7C"/>
    <w:rsid w:val="0024011B"/>
    <w:rsid w:val="00240588"/>
    <w:rsid w:val="00240951"/>
    <w:rsid w:val="0024442C"/>
    <w:rsid w:val="00244A23"/>
    <w:rsid w:val="0024530D"/>
    <w:rsid w:val="00245DF8"/>
    <w:rsid w:val="00247D53"/>
    <w:rsid w:val="00250D25"/>
    <w:rsid w:val="00250E63"/>
    <w:rsid w:val="00251F7E"/>
    <w:rsid w:val="00253CF6"/>
    <w:rsid w:val="00255BA1"/>
    <w:rsid w:val="002573A7"/>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3D7"/>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0A1F"/>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C70C1"/>
    <w:rsid w:val="003D0815"/>
    <w:rsid w:val="003D1208"/>
    <w:rsid w:val="003D2491"/>
    <w:rsid w:val="003D3986"/>
    <w:rsid w:val="003D47D4"/>
    <w:rsid w:val="003D4E7F"/>
    <w:rsid w:val="003D5394"/>
    <w:rsid w:val="003D6ED8"/>
    <w:rsid w:val="003E14BA"/>
    <w:rsid w:val="003E1DF7"/>
    <w:rsid w:val="003E4872"/>
    <w:rsid w:val="003E496A"/>
    <w:rsid w:val="003E589B"/>
    <w:rsid w:val="003E5EF4"/>
    <w:rsid w:val="003F0200"/>
    <w:rsid w:val="003F037B"/>
    <w:rsid w:val="003F2BE0"/>
    <w:rsid w:val="003F3B0B"/>
    <w:rsid w:val="003F4104"/>
    <w:rsid w:val="003F61DD"/>
    <w:rsid w:val="003F7099"/>
    <w:rsid w:val="00400657"/>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D6D15"/>
    <w:rsid w:val="004E1631"/>
    <w:rsid w:val="004E23F6"/>
    <w:rsid w:val="004E33B0"/>
    <w:rsid w:val="004E4341"/>
    <w:rsid w:val="004E4696"/>
    <w:rsid w:val="004E4CE8"/>
    <w:rsid w:val="004E5D70"/>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5728B"/>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167"/>
    <w:rsid w:val="00676275"/>
    <w:rsid w:val="00680BED"/>
    <w:rsid w:val="00680C24"/>
    <w:rsid w:val="006817CB"/>
    <w:rsid w:val="00681EBC"/>
    <w:rsid w:val="00682118"/>
    <w:rsid w:val="00682CE0"/>
    <w:rsid w:val="00683C38"/>
    <w:rsid w:val="00684182"/>
    <w:rsid w:val="00684AD3"/>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1B6E"/>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0430"/>
    <w:rsid w:val="0072252F"/>
    <w:rsid w:val="007267F1"/>
    <w:rsid w:val="007312DD"/>
    <w:rsid w:val="007319AA"/>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1CD"/>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2A0"/>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4E47"/>
    <w:rsid w:val="008A50B8"/>
    <w:rsid w:val="008A5B3A"/>
    <w:rsid w:val="008A5BDF"/>
    <w:rsid w:val="008B275E"/>
    <w:rsid w:val="008B37D8"/>
    <w:rsid w:val="008C196C"/>
    <w:rsid w:val="008C38A4"/>
    <w:rsid w:val="008C5BA9"/>
    <w:rsid w:val="008C6609"/>
    <w:rsid w:val="008C78C9"/>
    <w:rsid w:val="008C79D5"/>
    <w:rsid w:val="008D0534"/>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2D61"/>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5213"/>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3E8"/>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2DFF"/>
    <w:rsid w:val="00B56C27"/>
    <w:rsid w:val="00B579C2"/>
    <w:rsid w:val="00B609CB"/>
    <w:rsid w:val="00B61F26"/>
    <w:rsid w:val="00B633CD"/>
    <w:rsid w:val="00B64983"/>
    <w:rsid w:val="00B654D1"/>
    <w:rsid w:val="00B730D5"/>
    <w:rsid w:val="00B73631"/>
    <w:rsid w:val="00B75952"/>
    <w:rsid w:val="00B81C40"/>
    <w:rsid w:val="00B85F1C"/>
    <w:rsid w:val="00B86C4F"/>
    <w:rsid w:val="00B93078"/>
    <w:rsid w:val="00B95121"/>
    <w:rsid w:val="00B971CB"/>
    <w:rsid w:val="00BA37EB"/>
    <w:rsid w:val="00BA6983"/>
    <w:rsid w:val="00BB3792"/>
    <w:rsid w:val="00BB4A97"/>
    <w:rsid w:val="00BB51F0"/>
    <w:rsid w:val="00BB6386"/>
    <w:rsid w:val="00BC0BEC"/>
    <w:rsid w:val="00BC4E6A"/>
    <w:rsid w:val="00BC4FC4"/>
    <w:rsid w:val="00BC6DF7"/>
    <w:rsid w:val="00BC7C70"/>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3DCB"/>
    <w:rsid w:val="00CA5228"/>
    <w:rsid w:val="00CA57CE"/>
    <w:rsid w:val="00CB3480"/>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06E9B"/>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4165"/>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4A2"/>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0CB"/>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59B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17F50"/>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67F3B"/>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C6E97"/>
    <w:rsid w:val="00FD0A71"/>
    <w:rsid w:val="00FD5B77"/>
    <w:rsid w:val="00FD6C52"/>
    <w:rsid w:val="00FD7529"/>
    <w:rsid w:val="00FE1FCE"/>
    <w:rsid w:val="00FE2718"/>
    <w:rsid w:val="00FE31B0"/>
    <w:rsid w:val="00FE3481"/>
    <w:rsid w:val="00FE36F3"/>
    <w:rsid w:val="00FE4EF7"/>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10566152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10584058">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597596840">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diagramLayout" Target="diagrams/layout1.xml"/><Relationship Id="rId26" Type="http://schemas.openxmlformats.org/officeDocument/2006/relationships/fontTable" Target="fontTable.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diagramData" Target="diagrams/data1.xml"/><Relationship Id="rId25" Type="http://schemas.openxmlformats.org/officeDocument/2006/relationships/hyperlink" Target="http://www.eca.europa.eu/Lists/ECADocuments/SR14_22/SR14_22_EN.pdf"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comments" Target="comments.xml"/><Relationship Id="rId10" Type="http://schemas.openxmlformats.org/officeDocument/2006/relationships/footer" Target="footer1.xml"/><Relationship Id="rId19" Type="http://schemas.openxmlformats.org/officeDocument/2006/relationships/diagramQuickStyle" Target="diagrams/quickStyl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mailto:cko@vlada.gov.sk"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48EF8-7747-4269-9B65-B1175E319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13036</Words>
  <Characters>74309</Characters>
  <Application>Microsoft Office Word</Application>
  <DocSecurity>0</DocSecurity>
  <Lines>619</Lines>
  <Paragraphs>174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2018-12-10T10:30:00Z</dcterms:created>
  <dcterms:modified xsi:type="dcterms:W3CDTF">2020-09-23T11:34:00Z</dcterms:modified>
</cp:coreProperties>
</file>