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bookmarkStart w:id="0" w:name="_GoBack"/>
      <w:bookmarkEnd w:id="0"/>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666BEC">
      <w:pPr>
        <w:spacing w:before="120" w:after="120"/>
        <w:contextualSpacing/>
        <w:jc w:val="both"/>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Štefánikova 15, 811 05</w:t>
      </w:r>
      <w:r w:rsidRPr="005D01A7">
        <w:rPr>
          <w:rFonts w:asciiTheme="minorHAnsi" w:hAnsiTheme="minorHAnsi" w:cstheme="minorHAnsi"/>
          <w:sz w:val="22"/>
          <w:szCs w:val="22"/>
        </w:rPr>
        <w:t xml:space="preserve">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r w:rsidR="008D3EC8">
        <w:rPr>
          <w:rFonts w:asciiTheme="minorHAnsi" w:hAnsiTheme="minorHAnsi" w:cstheme="minorHAnsi"/>
          <w:sz w:val="22"/>
          <w:szCs w:val="22"/>
        </w:rPr>
        <w:t> </w:t>
      </w:r>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r w:rsidR="007A5882">
        <w:rPr>
          <w:rFonts w:asciiTheme="minorHAnsi" w:hAnsiTheme="minorHAnsi" w:cstheme="minorHAnsi"/>
          <w:sz w:val="22"/>
          <w:szCs w:val="22"/>
        </w:rPr>
        <w:t xml:space="preserve"> </w:t>
      </w:r>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r w:rsidR="008D3EC8">
        <w:rPr>
          <w:rFonts w:asciiTheme="minorHAnsi" w:hAnsiTheme="minorHAnsi" w:cstheme="minorHAnsi"/>
          <w:b/>
          <w:bCs/>
          <w:sz w:val="22"/>
          <w:szCs w:val="22"/>
        </w:rPr>
        <w:t>786 316,25</w:t>
      </w:r>
      <w:r w:rsidRPr="005D01A7">
        <w:rPr>
          <w:rFonts w:asciiTheme="minorHAnsi" w:hAnsiTheme="minorHAnsi" w:cstheme="minorHAnsi"/>
          <w:b/>
          <w:bCs/>
          <w:sz w:val="22"/>
          <w:szCs w:val="22"/>
        </w:rPr>
        <w:t xml:space="preserve"> </w:t>
      </w:r>
      <w:r w:rsidRPr="003F75E8">
        <w:rPr>
          <w:rFonts w:asciiTheme="minorHAnsi" w:hAnsiTheme="minorHAnsi" w:cstheme="minorHAnsi"/>
          <w:b/>
          <w:sz w:val="22"/>
          <w:szCs w:val="22"/>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Časový harmonogram konania o ŽoNFP</w:t>
      </w:r>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„ŽoNFP“)</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 xml:space="preserve">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ŽoNFP.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Miesto a spôsob podania ŽoNFP</w:t>
      </w:r>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094E87">
        <w:rPr>
          <w:rFonts w:asciiTheme="minorHAnsi" w:hAnsiTheme="minorHAnsi" w:cstheme="minorHAnsi"/>
          <w:sz w:val="22"/>
          <w:szCs w:val="22"/>
        </w:rPr>
        <w:t xml:space="preserve"> </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0F53F9" w:rsidRDefault="0011011D" w:rsidP="002D0D60">
      <w:pPr>
        <w:ind w:firstLine="709"/>
        <w:jc w:val="both"/>
        <w:rPr>
          <w:rFonts w:asciiTheme="minorHAnsi" w:hAnsiTheme="minorHAnsi" w:cstheme="minorHAnsi"/>
          <w:sz w:val="22"/>
          <w:szCs w:val="22"/>
        </w:rPr>
      </w:pPr>
      <w:r w:rsidRPr="000F53F9">
        <w:rPr>
          <w:rFonts w:asciiTheme="minorHAnsi" w:hAnsiTheme="minorHAnsi" w:cstheme="minorHAnsi"/>
          <w:sz w:val="22"/>
          <w:szCs w:val="22"/>
        </w:rPr>
        <w:t>Ministerstvo investícií, regionálneho rozvoja a informatizácie</w:t>
      </w:r>
      <w:r w:rsidR="00C92C97" w:rsidRPr="000F53F9">
        <w:rPr>
          <w:rFonts w:asciiTheme="minorHAnsi" w:hAnsiTheme="minorHAnsi" w:cstheme="minorHAnsi"/>
          <w:sz w:val="22"/>
          <w:szCs w:val="22"/>
        </w:rPr>
        <w:t xml:space="preserve"> Slovenskej republiky </w:t>
      </w:r>
    </w:p>
    <w:p w:rsidR="00C92C97" w:rsidRPr="000F53F9" w:rsidRDefault="007D7B73" w:rsidP="002D0D60">
      <w:pPr>
        <w:ind w:firstLine="709"/>
        <w:jc w:val="both"/>
        <w:rPr>
          <w:rFonts w:asciiTheme="minorHAnsi" w:hAnsiTheme="minorHAnsi" w:cstheme="minorHAnsi"/>
          <w:sz w:val="22"/>
          <w:szCs w:val="22"/>
        </w:rPr>
      </w:pPr>
      <w:r w:rsidRPr="003F75E8">
        <w:rPr>
          <w:rFonts w:asciiTheme="minorHAnsi" w:hAnsiTheme="minorHAnsi" w:cstheme="minorHAnsi"/>
          <w:sz w:val="22"/>
          <w:szCs w:val="22"/>
        </w:rPr>
        <w:t xml:space="preserve">sekcia </w:t>
      </w:r>
      <w:r w:rsidR="00197230" w:rsidRPr="003F75E8">
        <w:rPr>
          <w:rFonts w:asciiTheme="minorHAnsi" w:hAnsiTheme="minorHAnsi" w:cstheme="minorHAnsi"/>
          <w:sz w:val="22"/>
          <w:szCs w:val="22"/>
        </w:rPr>
        <w:t>OP TP a iných finančných mechanizmov</w:t>
      </w:r>
    </w:p>
    <w:p w:rsidR="00C92C97" w:rsidRPr="00654E38" w:rsidRDefault="00C92C97" w:rsidP="002D0D60">
      <w:pPr>
        <w:ind w:firstLine="709"/>
        <w:jc w:val="both"/>
        <w:rPr>
          <w:rFonts w:asciiTheme="minorHAnsi" w:hAnsiTheme="minorHAnsi" w:cstheme="minorHAnsi"/>
          <w:sz w:val="22"/>
          <w:szCs w:val="22"/>
        </w:rPr>
      </w:pPr>
      <w:r w:rsidRPr="00654E38">
        <w:rPr>
          <w:rFonts w:asciiTheme="minorHAnsi" w:hAnsiTheme="minorHAnsi" w:cstheme="minorHAnsi"/>
          <w:sz w:val="22"/>
          <w:szCs w:val="22"/>
        </w:rPr>
        <w:t>odbor implementácie projektov OP TP</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Štefánikova 15</w:t>
      </w:r>
      <w:r w:rsidR="00C92C97" w:rsidRPr="005D01A7">
        <w:rPr>
          <w:rFonts w:asciiTheme="minorHAnsi" w:hAnsiTheme="minorHAnsi" w:cstheme="minorHAnsi"/>
          <w:sz w:val="22"/>
          <w:szCs w:val="22"/>
        </w:rPr>
        <w:t xml:space="preserve"> </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osobne v pracovných dňoch</w:t>
      </w:r>
      <w:r w:rsidR="00DB103A">
        <w:rPr>
          <w:rFonts w:asciiTheme="minorHAnsi" w:hAnsiTheme="minorHAnsi" w:cstheme="minorHAnsi"/>
          <w:sz w:val="22"/>
          <w:szCs w:val="22"/>
        </w:rPr>
        <w:t>:</w:t>
      </w:r>
      <w:r w:rsidRPr="005D01A7">
        <w:rPr>
          <w:rFonts w:asciiTheme="minorHAnsi" w:hAnsiTheme="minorHAnsi" w:cstheme="minorHAnsi"/>
          <w:sz w:val="22"/>
          <w:szCs w:val="22"/>
        </w:rPr>
        <w:t xml:space="preserve"> </w:t>
      </w:r>
    </w:p>
    <w:p w:rsidR="00C92C97" w:rsidRDefault="005A3C77" w:rsidP="009A60C1">
      <w:pPr>
        <w:pStyle w:val="Odsekzoznamu"/>
        <w:numPr>
          <w:ilvl w:val="1"/>
          <w:numId w:val="19"/>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Po – Št:</w:t>
      </w:r>
      <w:r w:rsidR="00C92C97" w:rsidRPr="005A3C77">
        <w:rPr>
          <w:rFonts w:asciiTheme="minorHAnsi" w:hAnsiTheme="minorHAnsi" w:cstheme="minorHAnsi"/>
          <w:sz w:val="22"/>
          <w:szCs w:val="22"/>
        </w:rPr>
        <w:t xml:space="preserve"> </w:t>
      </w:r>
      <w:r w:rsidRPr="00D95AA6">
        <w:rPr>
          <w:rFonts w:asciiTheme="minorHAnsi" w:hAnsiTheme="minorHAnsi" w:cstheme="minorHAnsi"/>
          <w:sz w:val="22"/>
          <w:szCs w:val="22"/>
        </w:rPr>
        <w:t xml:space="preserve">9:00 - 14:30 hod. </w:t>
      </w:r>
      <w:r w:rsidR="009A60C1">
        <w:rPr>
          <w:rFonts w:asciiTheme="minorHAnsi" w:hAnsiTheme="minorHAnsi" w:cstheme="minorHAnsi"/>
          <w:sz w:val="22"/>
          <w:szCs w:val="22"/>
        </w:rPr>
        <w:t xml:space="preserve"> </w:t>
      </w:r>
      <w:r w:rsidRPr="00D95AA6">
        <w:rPr>
          <w:rFonts w:asciiTheme="minorHAnsi" w:hAnsiTheme="minorHAnsi" w:cstheme="minorHAnsi"/>
          <w:sz w:val="22"/>
          <w:szCs w:val="22"/>
        </w:rPr>
        <w:t>(obedňajšia prestávka 11:30 - 12:30 hod.)</w:t>
      </w:r>
      <w:r>
        <w:rPr>
          <w:rFonts w:asciiTheme="minorHAnsi" w:hAnsiTheme="minorHAnsi" w:cstheme="minorHAnsi"/>
          <w:sz w:val="22"/>
          <w:szCs w:val="22"/>
        </w:rPr>
        <w:t xml:space="preserve"> </w:t>
      </w:r>
    </w:p>
    <w:p w:rsidR="005A3C77" w:rsidRPr="005A3C77" w:rsidRDefault="006C63B9" w:rsidP="009A60C1">
      <w:pPr>
        <w:pStyle w:val="Odsekzoznamu"/>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005A3C77" w:rsidRPr="00D95AA6">
        <w:rPr>
          <w:rFonts w:asciiTheme="minorHAnsi" w:hAnsiTheme="minorHAnsi" w:cstheme="minorHAnsi"/>
          <w:sz w:val="22"/>
          <w:szCs w:val="22"/>
        </w:rPr>
        <w:t>9:00 -14:00 hod.  (obedňajšia prestávka 11:30 - 12:30 hod.):</w:t>
      </w:r>
    </w:p>
    <w:p w:rsidR="00C92C97" w:rsidRPr="005D01A7" w:rsidRDefault="00C92C97" w:rsidP="009A60C1">
      <w:pPr>
        <w:spacing w:before="120" w:after="120"/>
        <w:ind w:left="1134"/>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w:t>
      </w:r>
      <w:r w:rsidR="009E1C6C">
        <w:rPr>
          <w:rFonts w:asciiTheme="minorHAnsi" w:hAnsiTheme="minorHAnsi" w:cstheme="minorHAnsi"/>
          <w:sz w:val="22"/>
          <w:szCs w:val="22"/>
        </w:rPr>
        <w:t>Ministerstva investícií, regionálneho rozvoja a informatizácie</w:t>
      </w:r>
      <w:r w:rsidRPr="005D01A7">
        <w:rPr>
          <w:rFonts w:asciiTheme="minorHAnsi" w:hAnsiTheme="minorHAnsi" w:cstheme="minorHAnsi"/>
          <w:sz w:val="22"/>
          <w:szCs w:val="22"/>
        </w:rPr>
        <w:t xml:space="preserve"> Slovenskej republiky </w:t>
      </w:r>
    </w:p>
    <w:p w:rsidR="00C92C97" w:rsidRPr="005D01A7" w:rsidRDefault="009E1C6C" w:rsidP="009A60C1">
      <w:pPr>
        <w:spacing w:before="120" w:after="120"/>
        <w:ind w:left="1134"/>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 xml:space="preserve"> </w:t>
      </w:r>
    </w:p>
    <w:p w:rsidR="00C92C97" w:rsidRPr="005D01A7" w:rsidRDefault="009E1C6C" w:rsidP="009A60C1">
      <w:pPr>
        <w:ind w:left="1134"/>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9A60C1">
      <w:pPr>
        <w:pStyle w:val="Odsekzoznamu"/>
        <w:numPr>
          <w:ilvl w:val="1"/>
          <w:numId w:val="19"/>
        </w:numPr>
        <w:spacing w:before="120" w:after="120"/>
        <w:ind w:left="113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v čase od </w:t>
      </w:r>
      <w:r w:rsidR="004B245F">
        <w:rPr>
          <w:rFonts w:asciiTheme="minorHAnsi" w:hAnsiTheme="minorHAnsi" w:cstheme="minorHAnsi"/>
          <w:sz w:val="22"/>
          <w:szCs w:val="22"/>
        </w:rPr>
        <w:t>9:00</w:t>
      </w:r>
      <w:r w:rsidRPr="004B245F">
        <w:rPr>
          <w:rFonts w:asciiTheme="minorHAnsi" w:hAnsiTheme="minorHAnsi" w:cstheme="minorHAnsi"/>
          <w:sz w:val="22"/>
          <w:szCs w:val="22"/>
        </w:rPr>
        <w:t xml:space="preserve"> hod. do </w:t>
      </w:r>
      <w:r w:rsidR="004B245F">
        <w:rPr>
          <w:rFonts w:asciiTheme="minorHAnsi" w:hAnsiTheme="minorHAnsi" w:cstheme="minorHAnsi"/>
          <w:sz w:val="22"/>
          <w:szCs w:val="22"/>
        </w:rPr>
        <w:t>15:00</w:t>
      </w:r>
      <w:r w:rsidRPr="004B245F">
        <w:rPr>
          <w:rFonts w:asciiTheme="minorHAnsi" w:hAnsiTheme="minorHAnsi" w:cstheme="minorHAnsi"/>
          <w:sz w:val="22"/>
          <w:szCs w:val="22"/>
        </w:rPr>
        <w:t xml:space="preserve"> hod.</w:t>
      </w:r>
      <w:r w:rsidRPr="005D01A7">
        <w:rPr>
          <w:rFonts w:asciiTheme="minorHAnsi" w:hAnsiTheme="minorHAnsi" w:cstheme="minorHAnsi"/>
          <w:sz w:val="22"/>
          <w:szCs w:val="22"/>
        </w:rPr>
        <w:t xml:space="preserve"> na adresu:</w:t>
      </w:r>
    </w:p>
    <w:p w:rsidR="00C92C97" w:rsidRPr="00654E38" w:rsidRDefault="009E1C6C" w:rsidP="009A60C1">
      <w:pPr>
        <w:spacing w:before="120" w:after="120"/>
        <w:ind w:left="1134"/>
        <w:contextualSpacing/>
        <w:jc w:val="both"/>
        <w:rPr>
          <w:rFonts w:asciiTheme="minorHAnsi" w:hAnsiTheme="minorHAnsi" w:cstheme="minorHAnsi"/>
          <w:sz w:val="22"/>
          <w:szCs w:val="22"/>
        </w:rPr>
      </w:pPr>
      <w:r w:rsidRPr="000F53F9">
        <w:rPr>
          <w:rFonts w:asciiTheme="minorHAnsi" w:hAnsiTheme="minorHAnsi" w:cstheme="minorHAnsi"/>
          <w:sz w:val="22"/>
          <w:szCs w:val="22"/>
        </w:rPr>
        <w:t>Ministerstvo investícií, regionálneho rozvoja a informatizácie</w:t>
      </w:r>
      <w:r w:rsidR="00C92C97" w:rsidRPr="000F53F9">
        <w:rPr>
          <w:rFonts w:asciiTheme="minorHAnsi" w:hAnsiTheme="minorHAnsi" w:cstheme="minorHAnsi"/>
          <w:sz w:val="22"/>
          <w:szCs w:val="22"/>
        </w:rPr>
        <w:t xml:space="preserve"> Slovenskej republiky</w:t>
      </w:r>
    </w:p>
    <w:p w:rsidR="00C92C97" w:rsidRPr="005D01A7" w:rsidRDefault="007D7B73" w:rsidP="009A60C1">
      <w:pPr>
        <w:spacing w:before="120" w:after="120"/>
        <w:ind w:left="1134"/>
        <w:contextualSpacing/>
        <w:jc w:val="both"/>
        <w:rPr>
          <w:rFonts w:asciiTheme="minorHAnsi" w:hAnsiTheme="minorHAnsi" w:cstheme="minorHAnsi"/>
          <w:sz w:val="22"/>
          <w:szCs w:val="22"/>
        </w:rPr>
      </w:pPr>
      <w:r w:rsidRPr="003F75E8">
        <w:rPr>
          <w:rFonts w:asciiTheme="minorHAnsi" w:hAnsiTheme="minorHAnsi" w:cstheme="minorHAnsi"/>
          <w:sz w:val="22"/>
          <w:szCs w:val="22"/>
        </w:rPr>
        <w:t xml:space="preserve">sekcia </w:t>
      </w:r>
      <w:r w:rsidR="00197230" w:rsidRPr="003F75E8">
        <w:rPr>
          <w:rFonts w:asciiTheme="minorHAnsi" w:hAnsiTheme="minorHAnsi" w:cstheme="minorHAnsi"/>
          <w:sz w:val="22"/>
          <w:szCs w:val="22"/>
        </w:rPr>
        <w:t>OP TP a iných finančných mechanizmov</w:t>
      </w:r>
      <w:r w:rsidRPr="005D01A7" w:rsidDel="007D7B73">
        <w:rPr>
          <w:rFonts w:asciiTheme="minorHAnsi" w:eastAsiaTheme="minorHAnsi" w:hAnsiTheme="minorHAnsi" w:cstheme="minorHAnsi"/>
        </w:rPr>
        <w:t xml:space="preserve"> </w:t>
      </w:r>
      <w:r w:rsidR="00C92C97" w:rsidRPr="005D01A7">
        <w:rPr>
          <w:rFonts w:asciiTheme="minorHAnsi" w:hAnsiTheme="minorHAnsi" w:cstheme="minorHAnsi"/>
          <w:sz w:val="22"/>
          <w:szCs w:val="22"/>
        </w:rPr>
        <w:t xml:space="preserve"> </w:t>
      </w:r>
    </w:p>
    <w:p w:rsidR="00C92C97" w:rsidRPr="005D01A7" w:rsidRDefault="00C92C97" w:rsidP="009A60C1">
      <w:pPr>
        <w:spacing w:before="120" w:after="120"/>
        <w:ind w:left="1134"/>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9A60C1">
      <w:pPr>
        <w:spacing w:before="120" w:after="120"/>
        <w:ind w:left="1134"/>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9A60C1">
      <w:pPr>
        <w:spacing w:line="276" w:lineRule="auto"/>
        <w:ind w:left="1134"/>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ŽoNFP v listinnej podobe.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lastRenderedPageBreak/>
        <w:t xml:space="preserve">V zmysle zákona o e-Governmente môže žiadateľ </w:t>
      </w:r>
      <w:r w:rsidR="00AB40BB" w:rsidRPr="00116A6F">
        <w:rPr>
          <w:rFonts w:asciiTheme="minorHAnsi" w:hAnsiTheme="minorHAnsi" w:cstheme="minorHAnsi"/>
          <w:sz w:val="22"/>
          <w:szCs w:val="22"/>
        </w:rPr>
        <w:t xml:space="preserve">listinné </w:t>
      </w:r>
      <w:r w:rsidRPr="00116A6F">
        <w:rPr>
          <w:rFonts w:asciiTheme="minorHAnsi" w:hAnsiTheme="minorHAnsi" w:cstheme="minorHAnsi"/>
          <w:sz w:val="22"/>
          <w:szCs w:val="22"/>
        </w:rPr>
        <w:t xml:space="preserve">doručenie ŽoNFP nahradiť </w:t>
      </w:r>
      <w:r w:rsidRPr="00116A6F">
        <w:rPr>
          <w:rFonts w:asciiTheme="minorHAnsi" w:hAnsiTheme="minorHAnsi" w:cstheme="minorHAnsi"/>
          <w:b/>
          <w:sz w:val="22"/>
          <w:szCs w:val="22"/>
        </w:rPr>
        <w:t>elektronickým doručením prostredníctvom Ústredného portálu verejnej správy</w:t>
      </w:r>
      <w:r w:rsidRPr="00116A6F">
        <w:rPr>
          <w:rFonts w:asciiTheme="minorHAnsi" w:hAnsiTheme="minorHAnsi" w:cstheme="minorHAnsi"/>
          <w:sz w:val="22"/>
          <w:szCs w:val="22"/>
        </w:rPr>
        <w:t xml:space="preserve"> (</w:t>
      </w:r>
      <w:r w:rsidR="00AB40BB" w:rsidRPr="00116A6F">
        <w:rPr>
          <w:rFonts w:asciiTheme="minorHAnsi" w:hAnsiTheme="minorHAnsi" w:cstheme="minorHAnsi"/>
          <w:sz w:val="22"/>
          <w:szCs w:val="22"/>
        </w:rPr>
        <w:t>ďalej aj „</w:t>
      </w:r>
      <w:r w:rsidRPr="00116A6F">
        <w:rPr>
          <w:rFonts w:asciiTheme="minorHAnsi" w:hAnsiTheme="minorHAnsi" w:cstheme="minorHAnsi"/>
          <w:sz w:val="22"/>
          <w:szCs w:val="22"/>
        </w:rPr>
        <w:t>ÚPVS</w:t>
      </w:r>
      <w:r w:rsidR="00AB40BB" w:rsidRPr="00116A6F">
        <w:rPr>
          <w:rFonts w:asciiTheme="minorHAnsi" w:hAnsiTheme="minorHAnsi" w:cstheme="minorHAnsi"/>
          <w:sz w:val="22"/>
          <w:szCs w:val="22"/>
        </w:rPr>
        <w:t>“)</w:t>
      </w:r>
      <w:r w:rsidRPr="00116A6F">
        <w:rPr>
          <w:rFonts w:asciiTheme="minorHAnsi" w:hAnsiTheme="minorHAnsi" w:cstheme="minorHAnsi"/>
          <w:sz w:val="22"/>
          <w:szCs w:val="22"/>
        </w:rPr>
        <w:t xml:space="preserve"> do elektronickej schránky </w:t>
      </w:r>
      <w:r w:rsidR="004B245F" w:rsidRPr="00116A6F">
        <w:rPr>
          <w:rFonts w:asciiTheme="minorHAnsi" w:hAnsiTheme="minorHAnsi" w:cstheme="minorHAnsi"/>
          <w:sz w:val="22"/>
          <w:szCs w:val="22"/>
        </w:rPr>
        <w:t xml:space="preserve">MIRRI SR - </w:t>
      </w:r>
      <w:r w:rsidRPr="00116A6F">
        <w:rPr>
          <w:rFonts w:asciiTheme="minorHAnsi" w:hAnsiTheme="minorHAnsi" w:cstheme="minorHAnsi"/>
          <w:sz w:val="22"/>
          <w:szCs w:val="22"/>
        </w:rPr>
        <w:t xml:space="preserve">RO OP TP </w:t>
      </w:r>
      <w:r w:rsidR="00AB40BB" w:rsidRPr="00116A6F">
        <w:rPr>
          <w:rFonts w:asciiTheme="minorHAnsi" w:hAnsiTheme="minorHAnsi" w:cstheme="minorHAnsi"/>
          <w:sz w:val="22"/>
          <w:szCs w:val="22"/>
        </w:rPr>
        <w:t xml:space="preserve">(ÚPVS na adrese </w:t>
      </w:r>
      <w:hyperlink r:id="rId9" w:history="1">
        <w:r w:rsidR="00116A6F" w:rsidRPr="00116A6F">
          <w:rPr>
            <w:rStyle w:val="Hypertextovprepojenie"/>
            <w:rFonts w:asciiTheme="minorHAnsi" w:hAnsiTheme="minorHAnsi" w:cstheme="minorHAnsi"/>
            <w:sz w:val="22"/>
            <w:szCs w:val="22"/>
          </w:rPr>
          <w:t>www.slovensko.sk</w:t>
        </w:r>
      </w:hyperlink>
      <w:r w:rsidR="00AB40BB" w:rsidRPr="00116A6F">
        <w:rPr>
          <w:rFonts w:asciiTheme="minorHAnsi" w:hAnsiTheme="minorHAnsi" w:cstheme="minorHAnsi"/>
          <w:sz w:val="22"/>
          <w:szCs w:val="22"/>
        </w:rPr>
        <w:t xml:space="preserve">, špeciálna služba </w:t>
      </w:r>
      <w:r w:rsidR="004B245F" w:rsidRPr="00116A6F">
        <w:rPr>
          <w:rFonts w:asciiTheme="minorHAnsi" w:hAnsiTheme="minorHAnsi" w:cstheme="minorHAnsi"/>
          <w:sz w:val="22"/>
          <w:szCs w:val="22"/>
        </w:rPr>
        <w:t xml:space="preserve">MIRRI </w:t>
      </w:r>
      <w:r w:rsidR="00AB40BB" w:rsidRPr="00116A6F">
        <w:rPr>
          <w:rFonts w:asciiTheme="minorHAnsi" w:hAnsiTheme="minorHAnsi" w:cstheme="minorHAnsi"/>
          <w:sz w:val="22"/>
          <w:szCs w:val="22"/>
        </w:rPr>
        <w:t>SR zriadená pre takéto podanie „</w:t>
      </w:r>
      <w:r w:rsidR="00AB40BB" w:rsidRPr="00116A6F">
        <w:rPr>
          <w:rFonts w:asciiTheme="minorHAnsi" w:hAnsiTheme="minorHAnsi" w:cstheme="minorHAnsi"/>
          <w:b/>
          <w:sz w:val="22"/>
          <w:szCs w:val="22"/>
        </w:rPr>
        <w:t>Podanie na RO OP TP - dokumenty k projektom</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ŽoNFP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pdf súbor ŽoNFP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autorizuje a odošle ŽoNFP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 xml:space="preserve">povinné prílohy k ŽoNFP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 xml:space="preserve">osoby splnomocnenej zastupovať žiadateľa v konaní o ŽoNFP je potrebné </w:t>
      </w:r>
      <w:r w:rsidRPr="00A727FF">
        <w:rPr>
          <w:rFonts w:asciiTheme="minorHAnsi" w:hAnsiTheme="minorHAnsi" w:cstheme="minorHAnsi"/>
          <w:sz w:val="22"/>
          <w:szCs w:val="22"/>
        </w:rPr>
        <w:t>vložiť do ITMS2014+ elektronicky autorizovanú prílohu. Ak nie je možné túto prílohu autorizovať, žiadateľ vloží do ITMS2014+ sken prílohy a zároveň doručí originál prílohy na RO OP TP v listinnej podobe a to najneskôr do troch pracovných dní od odoslania ŽoNFP do elektronickej schránky RO</w:t>
      </w:r>
      <w:r w:rsidR="00654E38">
        <w:rPr>
          <w:rFonts w:asciiTheme="minorHAnsi" w:hAnsiTheme="minorHAnsi" w:cstheme="minorHAnsi"/>
          <w:sz w:val="22"/>
          <w:szCs w:val="22"/>
        </w:rPr>
        <w:t> </w:t>
      </w:r>
      <w:r w:rsidRPr="00A727FF">
        <w:rPr>
          <w:rFonts w:asciiTheme="minorHAnsi" w:hAnsiTheme="minorHAnsi" w:cstheme="minorHAnsi"/>
          <w:sz w:val="22"/>
          <w:szCs w:val="22"/>
        </w:rPr>
        <w:t xml:space="preserve">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 ak žiadateľ predloží ŽoNFP bez príloh elektronickým spôsobom a má aktivovanú elektronickú schránku, RO OP TP je povinný doručovať všetky rozhodnutia, vydané v konaní o</w:t>
      </w:r>
      <w:r w:rsidR="00654E38">
        <w:rPr>
          <w:rFonts w:asciiTheme="minorHAnsi" w:hAnsiTheme="minorHAnsi" w:cstheme="minorHAnsi"/>
          <w:sz w:val="22"/>
          <w:szCs w:val="22"/>
        </w:rPr>
        <w:t> </w:t>
      </w:r>
      <w:r w:rsidRPr="00A727FF">
        <w:rPr>
          <w:rFonts w:asciiTheme="minorHAnsi" w:hAnsiTheme="minorHAnsi" w:cstheme="minorHAnsi"/>
          <w:sz w:val="22"/>
          <w:szCs w:val="22"/>
        </w:rPr>
        <w:t>ŽoNFP elektronicky, v súlade so zákonom o e-Governmente.</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r w:rsidR="00654E38">
        <w:rPr>
          <w:rFonts w:asciiTheme="minorHAnsi" w:hAnsiTheme="minorHAnsi" w:cstheme="minorHAnsi"/>
          <w:sz w:val="22"/>
          <w:szCs w:val="22"/>
        </w:rPr>
        <w:t> </w:t>
      </w:r>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 xml:space="preserve">preklad do slovenského jazyka. Preklad do slovenského jazyka sa nevyžaduje v prípade príloh, ktoré sú originálne vyhotovené v českom jazyku a sú vypracované vo formáte, ktorý umožňuje objektívne posúdenie obsahu žiadosti (t.j.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r w:rsidRPr="00E66FF6">
        <w:rPr>
          <w:rFonts w:asciiTheme="minorHAnsi" w:hAnsiTheme="minorHAnsi" w:cstheme="minorHAnsi"/>
          <w:sz w:val="22"/>
          <w:szCs w:val="22"/>
        </w:rPr>
        <w:t xml:space="preserve">ŽoNFP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r w:rsidRPr="00E66FF6">
        <w:rPr>
          <w:rFonts w:asciiTheme="minorHAnsi" w:hAnsiTheme="minorHAnsi" w:cstheme="minorHAnsi"/>
          <w:sz w:val="22"/>
          <w:szCs w:val="22"/>
        </w:rPr>
        <w:t xml:space="preserve">ŽoNFP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r w:rsidRPr="00E66FF6">
        <w:rPr>
          <w:rFonts w:asciiTheme="minorHAnsi" w:hAnsiTheme="minorHAnsi" w:cstheme="minorHAnsi"/>
          <w:sz w:val="22"/>
          <w:szCs w:val="22"/>
        </w:rPr>
        <w:t>ŽoNFP alebo jej príloh, RO OP TP vyzve žiadateľa na doplnenie neúplných údajov, vysvetlenie nejasností alebo vysvetlenie nesprávne uvedených údajov zaslaním výzvy na doplnenie ŽoNFP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r w:rsidRPr="00E66FF6">
        <w:rPr>
          <w:rFonts w:asciiTheme="minorHAnsi" w:hAnsiTheme="minorHAnsi" w:cstheme="minorHAnsi"/>
          <w:sz w:val="22"/>
          <w:szCs w:val="22"/>
        </w:rPr>
        <w:t xml:space="preserve">ŽoNFP.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w:t>
      </w:r>
      <w:r w:rsidR="00AE6D4D" w:rsidRPr="00E66FF6">
        <w:rPr>
          <w:rFonts w:asciiTheme="minorHAnsi" w:hAnsiTheme="minorHAnsi" w:cstheme="minorHAnsi"/>
          <w:sz w:val="22"/>
          <w:szCs w:val="22"/>
        </w:rPr>
        <w:lastRenderedPageBreak/>
        <w:t xml:space="preserve">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hyperlink r:id="rId12" w:history="1">
        <w:r w:rsidR="00DE4FEF" w:rsidRPr="003F75E8">
          <w:rPr>
            <w:rStyle w:val="Hypertextovprepojenie"/>
            <w:rFonts w:cstheme="minorHAnsi"/>
            <w:sz w:val="22"/>
            <w:szCs w:val="22"/>
          </w:rPr>
          <w:t>www.ITMS2014.sk</w:t>
        </w:r>
      </w:hyperlink>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 xml:space="preserve">Bližšie informácie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2092 8480</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2092 8483</w:t>
      </w:r>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r w:rsidR="00654E38">
        <w:rPr>
          <w:rFonts w:asciiTheme="minorHAnsi" w:hAnsiTheme="minorHAnsi" w:cstheme="minorHAnsi"/>
          <w:sz w:val="22"/>
          <w:szCs w:val="22"/>
        </w:rPr>
        <w:t>2092 8484</w:t>
      </w:r>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 xml:space="preserve">emailom na adrese: </w:t>
      </w:r>
      <w:hyperlink r:id="rId14" w:history="1">
        <w:r w:rsidR="00131A9E" w:rsidRPr="003F75E8">
          <w:rPr>
            <w:rStyle w:val="Hypertextovprepojenie"/>
            <w:rFonts w:asciiTheme="minorHAnsi" w:hAnsiTheme="minorHAnsi"/>
            <w:sz w:val="22"/>
            <w:szCs w:val="22"/>
          </w:rPr>
          <w:t>projektyoptp@vicepremier.gov.sk</w:t>
        </w:r>
      </w:hyperlink>
      <w:r w:rsidR="008216B8"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8859BC">
        <w:rPr>
          <w:rFonts w:asciiTheme="minorHAnsi" w:hAnsiTheme="minorHAnsi" w:cstheme="minorHAnsi"/>
          <w:sz w:val="22"/>
          <w:szCs w:val="22"/>
        </w:rPr>
        <w:t>9:00</w:t>
      </w:r>
      <w:r w:rsidRPr="00834239">
        <w:rPr>
          <w:rFonts w:asciiTheme="minorHAnsi" w:hAnsiTheme="minorHAnsi" w:cstheme="minorHAnsi"/>
          <w:sz w:val="22"/>
          <w:szCs w:val="22"/>
        </w:rPr>
        <w:t xml:space="preserve"> hod. do </w:t>
      </w:r>
      <w:r w:rsidR="008859BC">
        <w:rPr>
          <w:rFonts w:asciiTheme="minorHAnsi" w:hAnsiTheme="minorHAnsi" w:cstheme="minorHAnsi"/>
          <w:sz w:val="22"/>
          <w:szCs w:val="22"/>
        </w:rPr>
        <w:t>15:00</w:t>
      </w:r>
      <w:r w:rsidRPr="00834239">
        <w:rPr>
          <w:rFonts w:asciiTheme="minorHAnsi" w:hAnsiTheme="minorHAnsi" w:cstheme="minorHAnsi"/>
          <w:sz w:val="22"/>
          <w:szCs w:val="22"/>
        </w:rPr>
        <w:t xml:space="preserve"> 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Záväzné informácie sú žiadateľom poskytované výlučne v písomnej forme. Informácie poskytované ústne nemajú záväzný charakter a žiadateľ sa na ne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5"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r w:rsidR="00250F57">
        <w:rPr>
          <w:rFonts w:asciiTheme="minorHAnsi" w:hAnsiTheme="minorHAnsi" w:cstheme="minorHAnsi"/>
          <w:sz w:val="22"/>
          <w:szCs w:val="22"/>
        </w:rPr>
        <w:t> </w:t>
      </w:r>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6"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ŽoNFP postupuje žiadateľ podľa pokynov uvedených v Popise k vzoru ŽoNFP,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ŽoNFP. Spôsob vyhodnotenia tohto ako aj ostatných kritérií pre výber projektov zo strany odborných hodnotiteľov môže žiadateľ nájsť v Príručke pre odborného hodnotiteľa, ktorá je zverejnená na </w:t>
      </w:r>
      <w:hyperlink r:id="rId18"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9"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ŽoNFP. Z uvedeného dôvodu žiadateľ nepredkladá na kontrolu RO OP TP spolu so ŽoNFP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w:t>
      </w:r>
      <w:r w:rsidR="00136E75">
        <w:rPr>
          <w:rFonts w:asciiTheme="minorHAnsi" w:hAnsiTheme="minorHAnsi" w:cstheme="minorHAnsi"/>
          <w:sz w:val="22"/>
          <w:szCs w:val="22"/>
        </w:rPr>
        <w:t> </w:t>
      </w:r>
      <w:r w:rsidRPr="00173BDD">
        <w:rPr>
          <w:rFonts w:asciiTheme="minorHAnsi" w:hAnsiTheme="minorHAnsi" w:cstheme="minorHAnsi"/>
          <w:sz w:val="22"/>
          <w:szCs w:val="22"/>
        </w:rPr>
        <w:t>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20"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21"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ŽoNFP zohľadňuje aj informácie z relevantných Metodických pokynov (ďalej aj „MP“) Centrálneho koordinačného orgánu (ďalej aj „CKO“) a ÚV SR zverejnených na webovom sídle </w:t>
      </w:r>
      <w:hyperlink r:id="rId22"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495469">
      <w:pPr>
        <w:pStyle w:val="Odsekzoznamu"/>
        <w:numPr>
          <w:ilvl w:val="0"/>
          <w:numId w:val="30"/>
        </w:numPr>
        <w:autoSpaceDE w:val="0"/>
        <w:autoSpaceDN w:val="0"/>
        <w:adjustRightInd w:val="0"/>
        <w:spacing w:after="120"/>
        <w:ind w:left="109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r w:rsidR="00A06E16">
        <w:rPr>
          <w:rFonts w:asciiTheme="minorHAnsi" w:hAnsiTheme="minorHAnsi" w:cstheme="minorHAnsi"/>
          <w:sz w:val="22"/>
          <w:szCs w:val="22"/>
        </w:rPr>
        <w:t xml:space="preserve"> (od 01.07.2020)</w:t>
      </w:r>
    </w:p>
    <w:p w:rsidR="00A06E16" w:rsidRPr="00495469" w:rsidRDefault="00A06E16"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ŽoNFP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ŽoNFP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ŽoNFP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ŽoNFP</w:t>
      </w:r>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všetci členovia štatutárneho orgánu partnera a osoba splnomocnená zastupovať partnera v</w:t>
      </w:r>
      <w:r w:rsidR="00136E75">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konaní o ŽoNFP neboli právoplatne odsúdení za trestný čin korupcie, (§328 - § 336 Trestného zákona) , trestný čin poškodzovania finančných záujmov ES (§261-§263 Trestného zákona), trestný </w:t>
      </w:r>
      <w:r w:rsidRPr="00A5499D">
        <w:rPr>
          <w:rFonts w:asciiTheme="minorHAnsi" w:eastAsiaTheme="minorHAnsi" w:hAnsiTheme="minorHAnsi" w:cstheme="minorHAnsi"/>
          <w:color w:val="000000"/>
          <w:sz w:val="22"/>
          <w:szCs w:val="22"/>
          <w:lang w:eastAsia="en-US"/>
        </w:rPr>
        <w:lastRenderedPageBreak/>
        <w:t>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00060E5D">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ŽoNFP,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ŽoNFP.</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ŽoNFP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ŽoNFP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lastRenderedPageBreak/>
        <w:t xml:space="preserve">(Žiadateľ nepredkladá samostatnú prílohu, ktorou deklaruje splnenie tejto podmienky poskytnutia príspevku. Za účelom posúdenia splnenia tejto podmienky poskytnutia príspevku, uvedie žiadateľ vo formulári ŽoNFP,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3"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2B6CE1" w:rsidRPr="00405985"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plnenie podmienky čestným vyhlásením v časti č. 15 vo formulári ŽoNFP</w:t>
      </w:r>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ŽoNFP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Default="00E157BE" w:rsidP="00405985">
      <w:pPr>
        <w:spacing w:before="120" w:after="120"/>
        <w:ind w:left="708"/>
        <w:jc w:val="both"/>
        <w:rPr>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ŽoNFP a</w:t>
      </w:r>
      <w:r w:rsidR="00F276AA">
        <w:rPr>
          <w:rFonts w:asciiTheme="minorHAnsi" w:hAnsiTheme="minorHAnsi" w:cstheme="minorHAnsi"/>
          <w:i/>
          <w:sz w:val="22"/>
          <w:szCs w:val="22"/>
        </w:rPr>
        <w:t> </w:t>
      </w:r>
      <w:r w:rsidR="00A21045" w:rsidRPr="005D01A7">
        <w:rPr>
          <w:rFonts w:asciiTheme="minorHAnsi" w:hAnsiTheme="minorHAnsi" w:cstheme="minorHAnsi"/>
          <w:i/>
          <w:sz w:val="22"/>
          <w:szCs w:val="22"/>
        </w:rPr>
        <w:t>realizácie projektu.</w:t>
      </w:r>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405985">
      <w:pPr>
        <w:spacing w:before="120" w:after="120"/>
        <w:ind w:left="708"/>
        <w:jc w:val="both"/>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spočíva najmä v zabezpečení podmienok pre rovnakú dostupnosť pre všetkých, aby nedochádzalo </w:t>
      </w:r>
      <w:r w:rsidRPr="005D01A7">
        <w:rPr>
          <w:rFonts w:asciiTheme="minorHAnsi" w:hAnsiTheme="minorHAnsi" w:cstheme="minorHAnsi"/>
          <w:color w:val="000000"/>
          <w:sz w:val="22"/>
          <w:szCs w:val="22"/>
        </w:rPr>
        <w:lastRenderedPageBreak/>
        <w:t>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r w:rsidRPr="0012621C">
        <w:rPr>
          <w:rFonts w:asciiTheme="minorHAnsi" w:eastAsiaTheme="minorHAnsi" w:hAnsiTheme="minorHAnsi" w:cstheme="minorHAnsi"/>
          <w:i/>
          <w:color w:val="000000"/>
          <w:sz w:val="22"/>
          <w:szCs w:val="22"/>
          <w:lang w:eastAsia="en-US"/>
        </w:rPr>
        <w:t xml:space="preserve">RMŽaND prostredníctvom výberu oprávnených typov aktivít vo formulári ŽoNFP,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r w:rsidR="00F276AA">
        <w:rPr>
          <w:rFonts w:asciiTheme="minorHAnsi" w:eastAsiaTheme="minorHAnsi" w:hAnsiTheme="minorHAnsi" w:cstheme="minorHAnsi"/>
          <w:i/>
          <w:color w:val="000000"/>
          <w:sz w:val="22"/>
          <w:szCs w:val="22"/>
          <w:lang w:eastAsia="en-US"/>
        </w:rPr>
        <w:t> </w:t>
      </w:r>
      <w:r w:rsidRPr="0012621C">
        <w:rPr>
          <w:rFonts w:asciiTheme="minorHAnsi" w:eastAsiaTheme="minorHAnsi" w:hAnsiTheme="minorHAnsi" w:cstheme="minorHAnsi"/>
          <w:i/>
          <w:color w:val="000000"/>
          <w:sz w:val="22"/>
          <w:szCs w:val="22"/>
          <w:lang w:eastAsia="en-US"/>
        </w:rPr>
        <w:t xml:space="preserve">nediskriminácia“. Žiadateľ rovnako v rámci formulára ŽoNFP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r w:rsidR="00F276AA">
        <w:rPr>
          <w:rFonts w:asciiTheme="minorHAnsi" w:eastAsiaTheme="minorHAnsi" w:hAnsiTheme="minorHAnsi" w:cstheme="minorHAnsi"/>
          <w:b/>
          <w:bCs/>
          <w:color w:val="000000"/>
          <w:sz w:val="22"/>
          <w:szCs w:val="22"/>
          <w:lang w:eastAsia="en-US"/>
        </w:rPr>
        <w:t>2022</w:t>
      </w:r>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r w:rsidR="00F276AA">
        <w:rPr>
          <w:rFonts w:asciiTheme="minorHAnsi" w:eastAsiaTheme="minorHAnsi" w:hAnsiTheme="minorHAnsi" w:cstheme="minorHAnsi"/>
          <w:i/>
          <w:color w:val="000000"/>
          <w:sz w:val="22"/>
          <w:szCs w:val="22"/>
          <w:lang w:eastAsia="en-US"/>
        </w:rPr>
        <w:t>2022</w:t>
      </w:r>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ŽoNFP,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r w:rsidR="00F276AA">
        <w:rPr>
          <w:rFonts w:asciiTheme="minorHAnsi" w:eastAsiaTheme="minorHAnsi" w:hAnsiTheme="minorHAnsi" w:cstheme="minorHAnsi"/>
          <w:color w:val="000000"/>
          <w:sz w:val="22"/>
          <w:szCs w:val="22"/>
          <w:lang w:eastAsia="en-US"/>
        </w:rPr>
        <w:t> </w:t>
      </w:r>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RDefault="007B12B8" w:rsidP="007B12B8">
      <w:pPr>
        <w:spacing w:before="120" w:after="120"/>
        <w:ind w:left="708"/>
        <w:jc w:val="both"/>
        <w:rPr>
          <w:rFonts w:asciiTheme="minorHAnsi" w:eastAsiaTheme="minorHAnsi" w:hAnsiTheme="minorHAnsi" w:cstheme="minorHAnsi"/>
          <w:i/>
          <w:color w:val="000000"/>
          <w:sz w:val="22"/>
          <w:szCs w:val="22"/>
          <w:lang w:eastAsia="en-US"/>
        </w:rPr>
      </w:pP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3F75E8" w:rsidRDefault="005553F8" w:rsidP="00666BEC">
      <w:pPr>
        <w:pStyle w:val="Odsekzoznamu"/>
        <w:numPr>
          <w:ilvl w:val="0"/>
          <w:numId w:val="7"/>
        </w:numPr>
        <w:spacing w:before="120" w:after="240"/>
        <w:contextualSpacing w:val="0"/>
        <w:rPr>
          <w:rFonts w:asciiTheme="minorHAnsi" w:hAnsiTheme="minorHAnsi" w:cstheme="minorHAnsi"/>
          <w:sz w:val="22"/>
          <w:szCs w:val="22"/>
        </w:rPr>
      </w:pPr>
      <w:r w:rsidRPr="003F75E8">
        <w:rPr>
          <w:rFonts w:asciiTheme="minorHAnsi" w:hAnsiTheme="minorHAnsi" w:cstheme="minorHAnsi"/>
          <w:sz w:val="22"/>
          <w:szCs w:val="22"/>
        </w:rPr>
        <w:lastRenderedPageBreak/>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r w:rsidR="00F276AA">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4"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5"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6"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7"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8"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 uvedie žiadateľ vo formulári ŽoNFP, v rámci časti č. 11.A a 11.B - Rozpočet žiadateľa a partnerov,  skupiny výdavkov.)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rsidP="003F75E8">
      <w:pPr>
        <w:spacing w:after="200" w:line="276" w:lineRule="auto"/>
        <w:ind w:left="709"/>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Žiadateľ nepreukazuje splnenie tejto podmienky poskytnutia príspevku prostredníctvom relevantnej časti formuláru ŽoNFP a taktiež nepredkladá ani samostatnú prílohu, ktorou deklaruje splnenie tejto podmienky poskytnutia príspevku.</w:t>
      </w:r>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ex-ante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Ak žiadateľ zistí v elektronických verejných registroch/ITMS2014+ nesúlad s podmienkou poskytnutia príspevku, je oprávnený predložiť dokument (resp. zdôvodnenie absencie dokumentu) aj bez výzvy na doplnenie ŽoNFP, ako súčasť predkladanej ŽoNFP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ŽoNFP – doručenie potvrdenia o splnení podmienky poskytnutia príspevku. V prípade, ak žiadateľ predložil ŽoNFP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ŽoNFP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podmienky zo strany žiadateľa rozhodne o zastavení konania o ŽoNFP.</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Podmienky poskytnutia príspevku, ktoré nie je možné overiť v elektronických verejných registroch, preukazuje žiadateľ najmä vložením skenu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ak ho vypracúva žiadateľ sám a nie je potrebné, aby bol úradne osvedčený/podpísaný, napr. rtf a pod.) do ITMS2014+ ako prílohu ŽoNFP.</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e-Governmente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do ITMS2014+ ako prílohu ŽoNFP.</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Konanie o žiadosti o NFP sa začína doručením žiadosti o NFP žiadateľom. Žiadateľ doručuje ŽoNFP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overí splnenie doručenia ŽoNFP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ŽoNFP, dostupných zdrojov na priame overenie podmienok poskytnutia príspevku a v relevantných prílohách ŽoNFP.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ŽoNFP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ŽoNFP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ŽoNFP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r w:rsidR="00F276AA">
        <w:rPr>
          <w:rFonts w:asciiTheme="minorHAnsi" w:hAnsiTheme="minorHAnsi" w:cstheme="minorHAnsi"/>
          <w:sz w:val="22"/>
          <w:szCs w:val="22"/>
        </w:rPr>
        <w:t> </w:t>
      </w:r>
      <w:r w:rsidRPr="00666BEC">
        <w:rPr>
          <w:rFonts w:asciiTheme="minorHAnsi" w:hAnsiTheme="minorHAnsi" w:cstheme="minorHAnsi"/>
          <w:sz w:val="22"/>
          <w:szCs w:val="22"/>
        </w:rPr>
        <w:t>príspevku z EŠIF č. 128/2020 Z. z. (do 22.6.2020 vrátane).</w:t>
      </w:r>
    </w:p>
    <w:p w:rsidR="003F2A48" w:rsidRPr="00405985" w:rsidRDefault="003F2A48" w:rsidP="003F75E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opätovne skontroluje predložené dokumenty a</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v prípade nesplnenia niektorej z podmienok poskytnutia príspevku, a to ani po predložení doplnených údajov zo strany žiadateľa, RO OP TP rozhodne o neschválení ŽoNFP,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doručenia požadovaných náležitostí po stanovenom termíne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r w:rsidR="003F2A48" w:rsidRPr="00405985">
        <w:rPr>
          <w:rFonts w:asciiTheme="minorHAnsi" w:eastAsiaTheme="minorHAnsi" w:hAnsiTheme="minorHAnsi" w:cstheme="minorHAnsi"/>
          <w:color w:val="000000"/>
          <w:sz w:val="22"/>
          <w:szCs w:val="22"/>
          <w:lang w:eastAsia="en-US"/>
        </w:rPr>
        <w:t>ŽoNFP</w:t>
      </w:r>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ŽoNFP,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ŽoNFP, na základe čoho nie je možné overiť splnenie niektorej z podmienok poskytnutia príspevku a rozhodnúť o schválení ŽoNFP</w:t>
      </w:r>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ŽoNFP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9"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r w:rsidR="00F276AA">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30"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ŽoNFP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ŽoNFP, bude viesť k zastaveniu konania o ŽoNFP. Ak sa na základe predložených dokumentov v tejto fáze preukáže, že ŽoNFP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ŽoNFP.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lehota na doplnenie alebo zmenu ŽoNFP márne uplynula v období od 12.3.2020 do 21.5.2020 (deň nadobudnutia účinnosti novely zákona o príspevku z EŠIF č. 128/2020 Z. z.), žiadateľ je oprávnený doplniť alebo zmeniť ŽoNFP najneskôr do jedného mesiaca odo dňa nadobudnutia účinnosti novely zákona o</w:t>
      </w:r>
      <w:r w:rsidR="00F276AA">
        <w:rPr>
          <w:rFonts w:asciiTheme="minorHAnsi" w:hAnsiTheme="minorHAnsi" w:cstheme="minorHAnsi"/>
          <w:sz w:val="22"/>
          <w:szCs w:val="22"/>
        </w:rPr>
        <w:t> </w:t>
      </w:r>
      <w:r w:rsidRPr="00666BEC">
        <w:rPr>
          <w:rFonts w:asciiTheme="minorHAnsi" w:hAnsiTheme="minorHAnsi" w:cstheme="minorHAnsi"/>
          <w:sz w:val="22"/>
          <w:szCs w:val="22"/>
        </w:rPr>
        <w:t>príspevku z EŠIF č. 128/2020 Z. z.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ŽoNFP. </w:t>
      </w:r>
      <w:r w:rsidR="003F2A48" w:rsidRPr="005D01A7">
        <w:rPr>
          <w:rFonts w:asciiTheme="minorHAnsi" w:eastAsiaTheme="minorHAnsi" w:hAnsiTheme="minorHAnsi" w:cstheme="minorHAnsi"/>
          <w:color w:val="000000"/>
          <w:sz w:val="22"/>
          <w:szCs w:val="22"/>
          <w:lang w:eastAsia="en-US"/>
        </w:rPr>
        <w:t xml:space="preserve">Ak ŽoNFP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ŽoNFP. Ak ŽoNFP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ŽoNFP.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r w:rsidRPr="00D60320">
        <w:rPr>
          <w:rFonts w:asciiTheme="minorHAnsi" w:hAnsiTheme="minorHAnsi" w:cstheme="minorHAnsi"/>
          <w:sz w:val="22"/>
          <w:szCs w:val="22"/>
        </w:rPr>
        <w:t>ŽoNFP</w:t>
      </w:r>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ŽoNFP späť. Za späťvzatie ŽoNFP je možné považovať akékoľvek podanie žiadateľa adresované RO OP TP v písomnej podobe, z ktorého je možné jednoznačne identifikovať vôľu žiadateľa vziať ŽoNFP späť. V prípade späťvzatia RO OP TP konanie o ŽoNFP rozhodnutím zastaví. RO OP TP zastaví konanie ku dňu doručenia späťvzatia.</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Vzor rozhodnutia o schválení ŽoNFP, neschválení ŽoNFP a o zastavení konania vydáva CKO (Vzor CKO č.</w:t>
      </w:r>
      <w:r w:rsidR="00F276AA">
        <w:rPr>
          <w:rFonts w:asciiTheme="minorHAnsi" w:hAnsiTheme="minorHAnsi" w:cstheme="minorHAnsi"/>
          <w:sz w:val="22"/>
          <w:szCs w:val="22"/>
        </w:rPr>
        <w:t> </w:t>
      </w:r>
      <w:r w:rsidRPr="00D60320">
        <w:rPr>
          <w:rFonts w:asciiTheme="minorHAnsi" w:hAnsiTheme="minorHAnsi" w:cstheme="minorHAnsi"/>
          <w:sz w:val="22"/>
          <w:szCs w:val="22"/>
        </w:rPr>
        <w:t xml:space="preserve">22 - Rozhodnutia o ŽoNFP je zverejnený na webovom sídle CKO </w:t>
      </w:r>
      <w:hyperlink r:id="rId31"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V prípade schválenia ŽoNFP, ak je prijímateľ a RO OP TP tá istá osoba, RO OP TP vydá interné Rozhodnutie o schválení ŽoNFP</w:t>
      </w:r>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2"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Pre konanie o ŽoNFP je rozhodujúci obsah ŽoNFP.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ŽoNFP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r w:rsidR="006C6761">
        <w:rPr>
          <w:rFonts w:asciiTheme="minorHAnsi" w:eastAsiaTheme="minorHAnsi" w:hAnsiTheme="minorHAnsi" w:cstheme="minorHAnsi"/>
          <w:color w:val="000000"/>
          <w:sz w:val="22"/>
          <w:szCs w:val="22"/>
          <w:lang w:eastAsia="en-US"/>
        </w:rPr>
        <w:t> </w:t>
      </w:r>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vydané v rámci opravných prostriedkov nemožno napadnúť riadnym opravným prostriedkom a preto nadobúdajú právoplatnosť jeho doručením žiadateľovi. Výnimkou je postup podľa § 23 ods. 2 zákona o príspevku z EŠIF, t.j.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odvolaní na svojej úrovni (tzv. autoremedúra),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w:t>
      </w:r>
      <w:r w:rsidR="0037501C">
        <w:rPr>
          <w:rFonts w:asciiTheme="minorHAnsi" w:eastAsiaTheme="minorHAnsi" w:hAnsiTheme="minorHAnsi" w:cstheme="minorHAnsi"/>
          <w:color w:val="000000"/>
          <w:sz w:val="22"/>
          <w:szCs w:val="22"/>
          <w:lang w:eastAsia="en-US"/>
        </w:rPr>
        <w:t>MIRRI</w:t>
      </w:r>
      <w:r w:rsidR="0037501C"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3F75E8">
        <w:rPr>
          <w:rFonts w:asciiTheme="minorHAnsi" w:hAnsiTheme="minorHAnsi" w:cstheme="minorHAnsi"/>
          <w:sz w:val="22"/>
          <w:szCs w:val="22"/>
        </w:rPr>
        <w:t xml:space="preserve">Ak lehota márne uplynula od 12.3.2020 do </w:t>
      </w:r>
      <w:r w:rsidR="0098199C" w:rsidRPr="003F75E8">
        <w:rPr>
          <w:rFonts w:asciiTheme="minorHAnsi" w:hAnsiTheme="minorHAnsi" w:cstheme="minorHAnsi"/>
          <w:sz w:val="22"/>
          <w:szCs w:val="22"/>
        </w:rPr>
        <w:lastRenderedPageBreak/>
        <w:t>21.5.2020, žiadateľ je oprávnený podať odvolanie najneskôr do jedného mesiaca odo dňa nadobudnutia účinnosti novely zákona o príspevku z EŠIF č. 128/2020 Z. z., t. j. do 22.6.2020 vrátane.</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ŽoNFP,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je odvolanie podané po späťvzatí – žiadateľ je oprávnený do rozhodnutia o odvolaní vziať podané odvolanie písomne späť. Ak po späťvzatí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späťvzatia odvolania zo strany žiadateľa. Žiadateľ je oprávnený podané odvolanie vziať späť a to až do ukončenia odvolacieho konania. Po späťvzatí odvolania nie je žiadateľ oprávnený podať znova odvolanie. Oznámenie o späťvzatí odvolania musí byť podané písomne RO</w:t>
      </w:r>
      <w:r w:rsidR="00CE606D" w:rsidRPr="00F61C6E">
        <w:rPr>
          <w:rFonts w:asciiTheme="minorHAnsi" w:hAnsiTheme="minorHAnsi" w:cstheme="minorHAnsi"/>
          <w:sz w:val="22"/>
          <w:szCs w:val="22"/>
        </w:rPr>
        <w:t xml:space="preserve"> OP </w:t>
      </w:r>
      <w:r w:rsidR="00CE606D" w:rsidRPr="00F61C6E">
        <w:rPr>
          <w:rFonts w:asciiTheme="minorHAnsi" w:hAnsiTheme="minorHAnsi" w:cstheme="minorHAnsi"/>
          <w:sz w:val="22"/>
          <w:szCs w:val="22"/>
        </w:rPr>
        <w:lastRenderedPageBreak/>
        <w:t>TP</w:t>
      </w:r>
      <w:r w:rsidRPr="00F61C6E">
        <w:rPr>
          <w:rFonts w:asciiTheme="minorHAnsi" w:hAnsiTheme="minorHAnsi" w:cstheme="minorHAnsi"/>
          <w:sz w:val="22"/>
          <w:szCs w:val="22"/>
        </w:rPr>
        <w:t>. Za deň späťvzatia odvolania sa považuje deň keď bolo oznámenie o späťvzatí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rozhodne o zastavení konania ku dňu doručenia späťvzatia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r w:rsidR="006C6761">
        <w:rPr>
          <w:rFonts w:asciiTheme="minorHAnsi" w:hAnsiTheme="minorHAnsi" w:cstheme="minorHAnsi"/>
          <w:sz w:val="22"/>
          <w:szCs w:val="22"/>
        </w:rPr>
        <w:t> </w:t>
      </w:r>
      <w:r w:rsidRPr="00116DB9">
        <w:rPr>
          <w:rFonts w:asciiTheme="minorHAnsi" w:hAnsiTheme="minorHAnsi" w:cstheme="minorHAnsi"/>
          <w:sz w:val="22"/>
          <w:szCs w:val="22"/>
        </w:rPr>
        <w:t>22 ods. 8 zákona o príspevku z EŠIF. Ak dôvod na odmietnutie odvolania neidentifikuje a</w:t>
      </w:r>
      <w:r w:rsidR="006C6761">
        <w:rPr>
          <w:rFonts w:asciiTheme="minorHAnsi" w:hAnsiTheme="minorHAnsi" w:cstheme="minorHAnsi"/>
          <w:sz w:val="22"/>
          <w:szCs w:val="22"/>
        </w:rPr>
        <w:t> </w:t>
      </w:r>
      <w:r w:rsidRPr="00116DB9">
        <w:rPr>
          <w:rFonts w:asciiTheme="minorHAnsi" w:hAnsiTheme="minorHAnsi" w:cstheme="minorHAnsi"/>
          <w:sz w:val="22"/>
          <w:szCs w:val="22"/>
        </w:rPr>
        <w:t xml:space="preserve">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r w:rsidR="006C6761">
        <w:rPr>
          <w:rFonts w:asciiTheme="minorHAnsi" w:hAnsiTheme="minorHAnsi" w:cstheme="minorHAnsi"/>
          <w:sz w:val="22"/>
          <w:szCs w:val="22"/>
        </w:rPr>
        <w:t> </w:t>
      </w:r>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r w:rsidR="006C6761">
        <w:rPr>
          <w:rFonts w:asciiTheme="minorHAnsi" w:eastAsiaTheme="minorHAnsi" w:hAnsiTheme="minorHAnsi" w:cstheme="minorHAnsi"/>
          <w:color w:val="000000"/>
          <w:sz w:val="22"/>
          <w:szCs w:val="22"/>
          <w:u w:val="single"/>
          <w:lang w:eastAsia="en-US"/>
        </w:rPr>
        <w:t>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neschválenia na schválenie podľa predchádzajúcej vety malo na základe výsledkov preskúmania ŽoNFP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Na toto rozhodnutie sa primerane aplikujú ustanovenia o náležitostiach rozhodnutia o ŽoNFP.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r w:rsidR="006C6761">
        <w:rPr>
          <w:rFonts w:asciiTheme="minorHAnsi" w:hAnsiTheme="minorHAnsi" w:cstheme="minorHAnsi"/>
          <w:sz w:val="22"/>
          <w:szCs w:val="22"/>
        </w:rPr>
        <w:t> </w:t>
      </w:r>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w:t>
      </w:r>
      <w:r w:rsidR="006C6761">
        <w:rPr>
          <w:rFonts w:asciiTheme="minorHAnsi" w:hAnsiTheme="minorHAnsi" w:cstheme="minorHAnsi"/>
          <w:sz w:val="22"/>
          <w:szCs w:val="22"/>
        </w:rPr>
        <w:t> </w:t>
      </w:r>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dôvodoch predĺženia. </w:t>
      </w:r>
      <w:r w:rsidR="0098199C" w:rsidRPr="00666BEC">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Rozhodnutie o schválení ŽoNFP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schválení/neschválení ŽoNFP</w:t>
      </w:r>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6C6761"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takomto prípade informuje žiadateľa listom ŠO o predĺžení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dôvodoch predĺženia.</w:t>
      </w:r>
      <w:r w:rsidR="0098199C">
        <w:rPr>
          <w:rFonts w:asciiTheme="minorHAnsi" w:eastAsiaTheme="minorHAnsi" w:hAnsiTheme="minorHAnsi" w:cstheme="minorHAnsi"/>
          <w:color w:val="000000"/>
          <w:sz w:val="22"/>
          <w:szCs w:val="22"/>
          <w:lang w:eastAsia="en-US"/>
        </w:rPr>
        <w:t xml:space="preserve"> </w:t>
      </w:r>
      <w:r w:rsidR="0098199C" w:rsidRPr="003F75E8">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r w:rsidRPr="006C6761">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Na opravu rozhodnutia sa vzťahuje § 47 ods. 6 správneho poriadku, t.j.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RDefault="00340AF0"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lastRenderedPageBreak/>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3"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Default="008936D5" w:rsidP="00340AF0">
      <w:pPr>
        <w:pStyle w:val="Odsekzoznamu"/>
        <w:spacing w:before="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RDefault="008936D5" w:rsidP="003F75E8">
      <w:pPr>
        <w:autoSpaceDE w:val="0"/>
        <w:autoSpaceDN w:val="0"/>
        <w:adjustRightInd w:val="0"/>
        <w:spacing w:before="120" w:after="120"/>
        <w:ind w:left="709"/>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nepreukazuje splnenie tejto podmienky poskytnutia príspevku prostredníctvom relevantnej časti formuláru ŽoNFP a taktiež nepredkladá ani samostatnú prílohu, ktorou deklaruje splnenie tejto podmienky poskytnutia príspevku.)</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ŽoNFP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ktorá je súčasťou predkladanej ŽoNFP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Žiadateľ pri vypracovaní ŽoNFP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w:t>
      </w:r>
      <w:r w:rsidRPr="005D01A7">
        <w:rPr>
          <w:rFonts w:asciiTheme="minorHAnsi" w:eastAsiaTheme="minorHAnsi" w:hAnsiTheme="minorHAnsi" w:cstheme="minorHAnsi"/>
          <w:color w:val="000000"/>
          <w:sz w:val="22"/>
          <w:szCs w:val="22"/>
          <w:lang w:eastAsia="en-US"/>
        </w:rPr>
        <w:lastRenderedPageBreak/>
        <w:t xml:space="preserve">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ŽoNFP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RMŽaND“)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RMŽaND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RMŽaND: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RMŽaND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RMŽaND sú uvedené v Systéme implementácie HP RMŽ a ND, ktorý je zverejnený na webových sídlach gestora </w:t>
      </w:r>
      <w:hyperlink r:id="rId34"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5"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RMŽaND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r w:rsidR="006C6761">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r w:rsidR="006C6761">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 xml:space="preserve">zmluve o NFP. </w:t>
      </w:r>
    </w:p>
    <w:p w:rsidR="00F64529" w:rsidRPr="00D60320" w:rsidRDefault="00F64529"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t>Príprava zmluvy o NFP</w:t>
      </w:r>
      <w:r w:rsidR="005E337B" w:rsidRPr="000B2A78">
        <w:rPr>
          <w:rFonts w:asciiTheme="minorHAnsi" w:hAnsiTheme="minorHAnsi"/>
          <w:b/>
          <w:sz w:val="22"/>
          <w:szCs w:val="22"/>
          <w:u w:val="single"/>
        </w:rPr>
        <w:t>/rozhodnutia o schválení ŽoNFP</w:t>
      </w:r>
      <w:r w:rsidRPr="000B2A78">
        <w:rPr>
          <w:rFonts w:asciiTheme="minorHAnsi" w:eastAsiaTheme="minorHAnsi" w:hAnsiTheme="minorHAnsi" w:cstheme="minorHAnsi"/>
          <w:b/>
          <w:bCs/>
          <w:color w:val="000000"/>
          <w:sz w:val="22"/>
          <w:szCs w:val="22"/>
          <w:u w:val="single"/>
          <w:lang w:eastAsia="en-US"/>
        </w:rPr>
        <w:t xml:space="preserve">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V prípade, ak je prijímateľ a RO OP TP tá istá osoba, zmluva o NFP sa neuzatvára a práva a povinnosti sú upravené rozhodnutím o schválení ŽoNFP. Rozhodnutie o schválení ŽoNFP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v rozsahu potrebnom na vydanie rozhodnutia o schválení ŽoNFP. Práva a povinnosti poskytovateľa a prijímateľa sú upravené v prílohe rozhodnutia o schválení ŽoNFP.</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aj rozhodnutia o schválení ŽoNFP (v prípade, ak je prijím</w:t>
      </w:r>
      <w:r w:rsidR="00775751" w:rsidRPr="006C6761">
        <w:rPr>
          <w:rFonts w:asciiTheme="minorHAnsi" w:hAnsiTheme="minorHAnsi" w:cstheme="minorHAnsi"/>
          <w:sz w:val="22"/>
          <w:szCs w:val="22"/>
        </w:rPr>
        <w:t xml:space="preserve">ateľ a RO OP TP tá istá osoba)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hyperlink r:id="rId36" w:history="1">
        <w:r w:rsidR="007775EB" w:rsidRPr="006C6761">
          <w:rPr>
            <w:rStyle w:val="Hypertextovprepojenie"/>
            <w:rFonts w:asciiTheme="minorHAnsi" w:eastAsiaTheme="minorHAnsi" w:hAnsiTheme="minorHAnsi" w:cstheme="minorHAnsi"/>
            <w:sz w:val="22"/>
            <w:szCs w:val="22"/>
            <w:lang w:eastAsia="en-US"/>
          </w:rPr>
          <w:t>http://www.optp.vlada.gov.sk/ine-dokumenty/</w:t>
        </w:r>
      </w:hyperlink>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rozhodnutia o schválení ŽoNFP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r w:rsid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e-Governmente)</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r w:rsidR="006C6761">
        <w:rPr>
          <w:rFonts w:asciiTheme="minorHAnsi" w:eastAsiaTheme="minorHAnsi" w:hAnsiTheme="minorHAnsi" w:cstheme="minorHAnsi"/>
          <w:color w:val="000000"/>
          <w:sz w:val="22"/>
          <w:szCs w:val="22"/>
          <w:lang w:eastAsia="en-US"/>
        </w:rPr>
        <w:t> </w:t>
      </w:r>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 xml:space="preserve">V prípade, ak je </w:t>
      </w:r>
      <w:r w:rsidR="00A27110" w:rsidRPr="00666BEC">
        <w:rPr>
          <w:rFonts w:asciiTheme="minorHAnsi" w:hAnsiTheme="minorHAnsi" w:cstheme="minorHAnsi"/>
          <w:sz w:val="22"/>
          <w:szCs w:val="22"/>
        </w:rPr>
        <w:lastRenderedPageBreak/>
        <w:t>prijímateľ a RO OP TP tá istá osoba, je rozhodnutie o schválení ŽoNFP vyhotovené v elektronickej podobe podpísané kvalifikovaným elektronickým podpisom (na základe kvalifikovaného certifikátu, mandátneho certifikátu).</w:t>
      </w:r>
    </w:p>
    <w:p w:rsidR="007F6A88" w:rsidRPr="00F64529"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F64529">
        <w:rPr>
          <w:rFonts w:asciiTheme="minorHAnsi" w:eastAsiaTheme="minorHAnsi" w:hAnsiTheme="minorHAnsi" w:cstheme="minorHAnsi"/>
          <w:color w:val="000000"/>
          <w:sz w:val="22"/>
          <w:szCs w:val="22"/>
          <w:lang w:eastAsia="en-US"/>
        </w:rPr>
        <w:t xml:space="preserve">o NFP </w:t>
      </w:r>
      <w:r w:rsidRPr="00F64529">
        <w:rPr>
          <w:rFonts w:asciiTheme="minorHAnsi" w:eastAsiaTheme="minorHAnsi" w:hAnsiTheme="minorHAnsi" w:cstheme="minorHAnsi"/>
          <w:color w:val="000000"/>
          <w:sz w:val="22"/>
          <w:szCs w:val="22"/>
          <w:lang w:eastAsia="en-US"/>
        </w:rPr>
        <w:t>v </w:t>
      </w:r>
      <w:r w:rsidR="00A27110" w:rsidRPr="00F64529">
        <w:rPr>
          <w:rFonts w:asciiTheme="minorHAnsi" w:eastAsiaTheme="minorHAnsi" w:hAnsiTheme="minorHAnsi" w:cstheme="minorHAnsi"/>
          <w:color w:val="000000"/>
          <w:sz w:val="22"/>
          <w:szCs w:val="22"/>
          <w:lang w:eastAsia="en-US"/>
        </w:rPr>
        <w:t xml:space="preserve">písomnej </w:t>
      </w:r>
      <w:r w:rsidRPr="00F64529">
        <w:rPr>
          <w:rFonts w:asciiTheme="minorHAnsi" w:eastAsiaTheme="minorHAnsi" w:hAnsiTheme="minorHAnsi" w:cstheme="minorHAnsi"/>
          <w:color w:val="000000"/>
          <w:sz w:val="22"/>
          <w:szCs w:val="22"/>
          <w:lang w:eastAsia="en-US"/>
        </w:rPr>
        <w:t>forme</w:t>
      </w:r>
      <w:r w:rsidR="007F00E2" w:rsidRPr="00F64529">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sidRPr="00F64529">
        <w:rPr>
          <w:rFonts w:asciiTheme="minorHAnsi" w:eastAsiaTheme="minorHAnsi" w:hAnsiTheme="minorHAnsi" w:cstheme="minorHAnsi"/>
          <w:color w:val="000000"/>
          <w:sz w:val="22"/>
          <w:szCs w:val="22"/>
          <w:lang w:eastAsia="en-US"/>
        </w:rPr>
        <w:t xml:space="preserve">štyroch </w:t>
      </w:r>
      <w:r w:rsidR="007F00E2" w:rsidRPr="00F64529">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F64529">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r w:rsidR="006C6761">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r w:rsidR="00A27110" w:rsidRPr="006C6761">
        <w:rPr>
          <w:rFonts w:asciiTheme="minorHAnsi" w:eastAsiaTheme="minorHAnsi" w:hAnsiTheme="minorHAnsi" w:cstheme="minorHAnsi"/>
          <w:sz w:val="22"/>
          <w:szCs w:val="22"/>
        </w:rPr>
        <w:t xml:space="preserve">písomnej formy </w:t>
      </w:r>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3F75E8">
        <w:rPr>
          <w:rFonts w:asciiTheme="minorHAnsi" w:eastAsiaTheme="minorHAnsi" w:hAnsiTheme="minorHAnsi"/>
          <w:sz w:val="22"/>
          <w:szCs w:val="22"/>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7"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DE59B8" w:rsidRPr="006C619D">
        <w:rPr>
          <w:rFonts w:asciiTheme="minorHAnsi" w:eastAsiaTheme="minorHAnsi" w:hAnsiTheme="minorHAnsi" w:cstheme="minorHAnsi"/>
          <w:color w:val="000000"/>
          <w:sz w:val="22"/>
          <w:szCs w:val="22"/>
          <w:lang w:eastAsia="en-US"/>
        </w:rPr>
        <w:t xml:space="preserve"> o NFP</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zabezpečí v súlade s ustanoveniami zákona o slobode informácií zverejnenie zmluvy o NFP v</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Centrálnom registri zmlúv. Deň nasledujúci po dni jej zverejnenia je deň účinnosti zmluvy o NFP a</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r w:rsidR="006C6761">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Ak je prijímateľ a RO OP TP tá istá osoba, právny nárok na poskytnutie príspevku vzniká nadobudnutím právoplatnosti rozhodnutia o schválení ŽoNFP. Od tohto dňa je prijímateľ viazaný ustanoveniami rozhodnutia o schválení ŽoNFP,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ŽoNFP,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ŽoNFP </w:t>
      </w:r>
      <w:r w:rsidRPr="005D01A7">
        <w:rPr>
          <w:rFonts w:asciiTheme="minorHAnsi" w:eastAsiaTheme="minorHAnsi" w:hAnsiTheme="minorHAnsi" w:cstheme="minorHAnsi"/>
          <w:b/>
          <w:bCs/>
          <w:color w:val="000000"/>
          <w:sz w:val="22"/>
          <w:szCs w:val="22"/>
          <w:lang w:eastAsia="en-US"/>
        </w:rPr>
        <w:t xml:space="preserve">zoznam schválených ŽoNFP,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ŽoNFP zoznam neschválených ŽoNFP,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 ktoré nadobudli účinnosť a</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právoplatných rozhodnutiach o schválení </w:t>
      </w:r>
      <w:r w:rsidR="00EE5FC0">
        <w:rPr>
          <w:rFonts w:asciiTheme="minorHAnsi" w:eastAsiaTheme="minorHAnsi" w:hAnsiTheme="minorHAnsi" w:cstheme="minorHAnsi"/>
          <w:color w:val="000000"/>
          <w:sz w:val="22"/>
          <w:szCs w:val="22"/>
          <w:lang w:eastAsia="en-US"/>
        </w:rPr>
        <w:t xml:space="preserve">ŽoNFP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OP TP zverejňuje bezodkladne po nadobudnutí právoplatnosti rozhodnutia o ŽoNFP prostredníctvom funkcionality ITMS2014+ spoločné hodnotiace hárky odborného hodnotenia ŽoNFP na webovom sídle </w:t>
      </w:r>
      <w:hyperlink r:id="rId38"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r w:rsidR="00384BC1">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lastRenderedPageBreak/>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9"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40"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Zmena a zrušenie vyzvania môžu byť vykonané v súlade s postupom uvedeným v § 17 ods. 6 až 8 zákona o príspevku z EŠIF. Vzhľadom na charakter projektov technickej pomoci a s ohľadom na skutočnosť, že v</w:t>
      </w:r>
      <w:r w:rsidR="00384BC1">
        <w:rPr>
          <w:rFonts w:asciiTheme="minorHAnsi" w:hAnsiTheme="minorHAnsi" w:cstheme="minorHAnsi"/>
          <w:sz w:val="22"/>
          <w:szCs w:val="22"/>
        </w:rPr>
        <w:t> </w:t>
      </w:r>
      <w:r w:rsidRPr="005D01A7">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w:t>
      </w:r>
      <w:r w:rsidR="00384BC1">
        <w:rPr>
          <w:rFonts w:asciiTheme="minorHAnsi" w:hAnsiTheme="minorHAnsi" w:cstheme="minorHAnsi"/>
          <w:sz w:val="22"/>
          <w:szCs w:val="22"/>
        </w:rPr>
        <w:t> </w:t>
      </w:r>
      <w:r w:rsidRPr="005D01A7">
        <w:rPr>
          <w:rFonts w:asciiTheme="minorHAnsi" w:hAnsiTheme="minorHAnsi" w:cstheme="minorHAnsi"/>
          <w:sz w:val="22"/>
          <w:szCs w:val="22"/>
        </w:rPr>
        <w:t>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41"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Výzvy na doplnenie ŽoNFP</w:t>
      </w:r>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r w:rsidR="00384BC1">
        <w:rPr>
          <w:rFonts w:asciiTheme="minorHAnsi" w:eastAsiaTheme="minorHAnsi" w:hAnsiTheme="minorHAnsi" w:cstheme="minorHAnsi"/>
          <w:color w:val="000000"/>
          <w:sz w:val="22"/>
          <w:szCs w:val="22"/>
          <w:lang w:eastAsia="en-US"/>
        </w:rPr>
        <w:t> </w:t>
      </w:r>
      <w:r w:rsidR="000D6D0F" w:rsidRPr="00E508E7">
        <w:rPr>
          <w:rFonts w:asciiTheme="minorHAnsi" w:eastAsiaTheme="minorHAnsi" w:hAnsiTheme="minorHAnsi" w:cstheme="minorHAnsi"/>
          <w:color w:val="000000"/>
          <w:sz w:val="22"/>
          <w:szCs w:val="22"/>
          <w:lang w:eastAsia="en-US"/>
        </w:rPr>
        <w:t>NFP</w:t>
      </w:r>
      <w:r w:rsidR="00384BC1">
        <w:rPr>
          <w:rFonts w:asciiTheme="minorHAnsi" w:eastAsiaTheme="minorHAnsi" w:hAnsiTheme="minorHAnsi" w:cstheme="minorHAnsi"/>
          <w:color w:val="000000"/>
          <w:sz w:val="22"/>
          <w:szCs w:val="22"/>
          <w:lang w:eastAsia="en-US"/>
        </w:rPr>
        <w:t xml:space="preserve"> - </w:t>
      </w:r>
      <w:r w:rsidR="00384BC1" w:rsidRPr="001039DA">
        <w:rPr>
          <w:rFonts w:asciiTheme="minorHAnsi" w:eastAsiaTheme="minorHAnsi" w:hAnsiTheme="minorHAnsi" w:cstheme="minorHAnsi"/>
          <w:b/>
          <w:color w:val="000000"/>
          <w:sz w:val="22"/>
          <w:szCs w:val="22"/>
          <w:lang w:eastAsia="en-US"/>
        </w:rPr>
        <w:t>aktualizovaná</w:t>
      </w:r>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42"/>
      <w:footerReference w:type="default" r:id="rId43"/>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882" w:rsidRDefault="007A5882" w:rsidP="006829FC">
      <w:r>
        <w:separator/>
      </w:r>
    </w:p>
  </w:endnote>
  <w:endnote w:type="continuationSeparator" w:id="0">
    <w:p w:rsidR="007A5882" w:rsidRDefault="007A5882"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A5882" w:rsidRDefault="007A5882">
        <w:pPr>
          <w:pStyle w:val="Pta"/>
          <w:jc w:val="center"/>
        </w:pPr>
        <w:r>
          <w:fldChar w:fldCharType="begin"/>
        </w:r>
        <w:r>
          <w:instrText>PAGE   \* MERGEFORMAT</w:instrText>
        </w:r>
        <w:r>
          <w:fldChar w:fldCharType="separate"/>
        </w:r>
        <w:r w:rsidR="003F75E8">
          <w:rPr>
            <w:noProof/>
          </w:rPr>
          <w:t>21</w:t>
        </w:r>
        <w:r>
          <w:fldChar w:fldCharType="end"/>
        </w:r>
      </w:p>
    </w:sdtContent>
  </w:sdt>
  <w:p w:rsidR="007A5882" w:rsidRDefault="007A588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882" w:rsidRDefault="007A5882" w:rsidP="006829FC">
      <w:r>
        <w:separator/>
      </w:r>
    </w:p>
  </w:footnote>
  <w:footnote w:type="continuationSeparator" w:id="0">
    <w:p w:rsidR="007A5882" w:rsidRDefault="007A5882" w:rsidP="006829FC">
      <w:r>
        <w:continuationSeparator/>
      </w:r>
    </w:p>
  </w:footnote>
  <w:footnote w:id="1">
    <w:p w:rsidR="007A5882" w:rsidRDefault="007A5882"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A5882" w:rsidRDefault="007A5882"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w:t>
      </w:r>
    </w:p>
  </w:footnote>
  <w:footnote w:id="3">
    <w:p w:rsidR="007A5882" w:rsidRDefault="007A5882"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A5882" w:rsidRDefault="007A5882"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r>
        <w:t> </w:t>
      </w:r>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882" w:rsidRPr="0012621C" w:rsidRDefault="007A5882"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A5882" w:rsidRPr="005D01A7" w:rsidRDefault="007A5882" w:rsidP="00936B1C">
    <w:pPr>
      <w:rPr>
        <w:rFonts w:asciiTheme="minorHAnsi" w:hAnsiTheme="minorHAnsi" w:cstheme="minorHAnsi"/>
      </w:rPr>
    </w:pPr>
    <w:r w:rsidRPr="005D01A7">
      <w:rPr>
        <w:rFonts w:asciiTheme="minorHAnsi" w:hAnsiTheme="minorHAnsi" w:cstheme="minorHAnsi"/>
      </w:rPr>
      <w:t xml:space="preserve">                                         Konsolidovaná verzia po zmene č. </w:t>
    </w:r>
    <w:r>
      <w:rPr>
        <w:rFonts w:asciiTheme="minorHAnsi" w:hAnsiTheme="minorHAnsi" w:cstheme="minorHAnsi"/>
      </w:rPr>
      <w:t>8</w:t>
    </w:r>
    <w:r w:rsidRPr="005D01A7">
      <w:rPr>
        <w:rFonts w:asciiTheme="minorHAnsi" w:hAnsiTheme="minorHAnsi" w:cstheme="minorHAnsi"/>
      </w:rPr>
      <w:t xml:space="preserve"> </w:t>
    </w:r>
    <w:r w:rsidRPr="008C305A">
      <w:rPr>
        <w:rFonts w:asciiTheme="minorHAnsi" w:hAnsiTheme="minorHAnsi" w:cstheme="minorHAnsi"/>
      </w:rPr>
      <w:t>z</w:t>
    </w:r>
    <w:r>
      <w:rPr>
        <w:rFonts w:asciiTheme="minorHAnsi" w:hAnsiTheme="minorHAnsi" w:cstheme="minorHAnsi"/>
      </w:rPr>
      <w:t> 2</w:t>
    </w:r>
    <w:r w:rsidR="00E51023">
      <w:rPr>
        <w:rFonts w:asciiTheme="minorHAnsi" w:hAnsiTheme="minorHAnsi" w:cstheme="minorHAnsi"/>
      </w:rPr>
      <w:t>6</w:t>
    </w:r>
    <w:r>
      <w:rPr>
        <w:rFonts w:asciiTheme="minorHAnsi" w:hAnsiTheme="minorHAnsi" w:cstheme="minorHAnsi"/>
      </w:rPr>
      <w:t>.03.2021</w:t>
    </w:r>
    <w:r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7"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5"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32"/>
  </w:num>
  <w:num w:numId="8">
    <w:abstractNumId w:val="23"/>
  </w:num>
  <w:num w:numId="9">
    <w:abstractNumId w:val="11"/>
  </w:num>
  <w:num w:numId="10">
    <w:abstractNumId w:val="0"/>
  </w:num>
  <w:num w:numId="11">
    <w:abstractNumId w:val="20"/>
  </w:num>
  <w:num w:numId="12">
    <w:abstractNumId w:val="17"/>
  </w:num>
  <w:num w:numId="13">
    <w:abstractNumId w:val="4"/>
  </w:num>
  <w:num w:numId="14">
    <w:abstractNumId w:val="2"/>
  </w:num>
  <w:num w:numId="15">
    <w:abstractNumId w:val="1"/>
  </w:num>
  <w:num w:numId="16">
    <w:abstractNumId w:val="31"/>
  </w:num>
  <w:num w:numId="17">
    <w:abstractNumId w:val="30"/>
  </w:num>
  <w:num w:numId="18">
    <w:abstractNumId w:val="12"/>
  </w:num>
  <w:num w:numId="19">
    <w:abstractNumId w:val="8"/>
  </w:num>
  <w:num w:numId="20">
    <w:abstractNumId w:val="24"/>
  </w:num>
  <w:num w:numId="21">
    <w:abstractNumId w:val="26"/>
  </w:num>
  <w:num w:numId="22">
    <w:abstractNumId w:val="19"/>
  </w:num>
  <w:num w:numId="23">
    <w:abstractNumId w:val="33"/>
  </w:num>
  <w:num w:numId="24">
    <w:abstractNumId w:val="32"/>
  </w:num>
  <w:num w:numId="25">
    <w:abstractNumId w:val="28"/>
  </w:num>
  <w:num w:numId="26">
    <w:abstractNumId w:val="27"/>
  </w:num>
  <w:num w:numId="27">
    <w:abstractNumId w:val="15"/>
  </w:num>
  <w:num w:numId="28">
    <w:abstractNumId w:val="13"/>
  </w:num>
  <w:num w:numId="29">
    <w:abstractNumId w:val="22"/>
  </w:num>
  <w:num w:numId="30">
    <w:abstractNumId w:val="9"/>
  </w:num>
  <w:num w:numId="31">
    <w:abstractNumId w:val="6"/>
  </w:num>
  <w:num w:numId="32">
    <w:abstractNumId w:val="35"/>
  </w:num>
  <w:num w:numId="33">
    <w:abstractNumId w:val="7"/>
  </w:num>
  <w:num w:numId="34">
    <w:abstractNumId w:val="10"/>
  </w:num>
  <w:num w:numId="35">
    <w:abstractNumId w:val="21"/>
  </w:num>
  <w:num w:numId="36">
    <w:abstractNumId w:val="16"/>
  </w:num>
  <w:num w:numId="37">
    <w:abstractNumId w:val="34"/>
  </w:num>
  <w:num w:numId="3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135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C225D"/>
    <w:rsid w:val="000C6A20"/>
    <w:rsid w:val="000D60BA"/>
    <w:rsid w:val="000D6D0F"/>
    <w:rsid w:val="000F53F9"/>
    <w:rsid w:val="001039DA"/>
    <w:rsid w:val="00104145"/>
    <w:rsid w:val="0011011D"/>
    <w:rsid w:val="001127EB"/>
    <w:rsid w:val="00113075"/>
    <w:rsid w:val="0011383A"/>
    <w:rsid w:val="00115088"/>
    <w:rsid w:val="00116A6F"/>
    <w:rsid w:val="00120F53"/>
    <w:rsid w:val="0012621C"/>
    <w:rsid w:val="00131A9E"/>
    <w:rsid w:val="00136E75"/>
    <w:rsid w:val="00142B86"/>
    <w:rsid w:val="001508CE"/>
    <w:rsid w:val="00150B3C"/>
    <w:rsid w:val="001577C5"/>
    <w:rsid w:val="001717FE"/>
    <w:rsid w:val="00173BDD"/>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7501C"/>
    <w:rsid w:val="00375457"/>
    <w:rsid w:val="003772AC"/>
    <w:rsid w:val="00384BC1"/>
    <w:rsid w:val="00385068"/>
    <w:rsid w:val="0039215D"/>
    <w:rsid w:val="00395989"/>
    <w:rsid w:val="003A44D9"/>
    <w:rsid w:val="003B517D"/>
    <w:rsid w:val="003C1744"/>
    <w:rsid w:val="003C2270"/>
    <w:rsid w:val="003C44E2"/>
    <w:rsid w:val="003E04E9"/>
    <w:rsid w:val="003E2B46"/>
    <w:rsid w:val="003F2A48"/>
    <w:rsid w:val="003F2AC8"/>
    <w:rsid w:val="003F6297"/>
    <w:rsid w:val="003F75E8"/>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F96"/>
    <w:rsid w:val="004D5DB0"/>
    <w:rsid w:val="004D7BF2"/>
    <w:rsid w:val="005034F6"/>
    <w:rsid w:val="00503622"/>
    <w:rsid w:val="00513E00"/>
    <w:rsid w:val="00515261"/>
    <w:rsid w:val="00516775"/>
    <w:rsid w:val="00523EC9"/>
    <w:rsid w:val="00525516"/>
    <w:rsid w:val="0052799D"/>
    <w:rsid w:val="00533245"/>
    <w:rsid w:val="00541E08"/>
    <w:rsid w:val="0054659C"/>
    <w:rsid w:val="005504FC"/>
    <w:rsid w:val="00550DD5"/>
    <w:rsid w:val="005553F8"/>
    <w:rsid w:val="005632BA"/>
    <w:rsid w:val="005805F5"/>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C63B9"/>
    <w:rsid w:val="006C6761"/>
    <w:rsid w:val="006D2F0A"/>
    <w:rsid w:val="006D31FE"/>
    <w:rsid w:val="006D79B5"/>
    <w:rsid w:val="006E5E7D"/>
    <w:rsid w:val="006F20F1"/>
    <w:rsid w:val="006F4A48"/>
    <w:rsid w:val="006F5DBC"/>
    <w:rsid w:val="0070159B"/>
    <w:rsid w:val="00703AD1"/>
    <w:rsid w:val="00704359"/>
    <w:rsid w:val="00712ADD"/>
    <w:rsid w:val="00723C75"/>
    <w:rsid w:val="00727285"/>
    <w:rsid w:val="00736DE3"/>
    <w:rsid w:val="00742E4E"/>
    <w:rsid w:val="00744A61"/>
    <w:rsid w:val="00761784"/>
    <w:rsid w:val="00766DC0"/>
    <w:rsid w:val="00773ED6"/>
    <w:rsid w:val="00775751"/>
    <w:rsid w:val="007775EB"/>
    <w:rsid w:val="007919FC"/>
    <w:rsid w:val="007A5882"/>
    <w:rsid w:val="007A6843"/>
    <w:rsid w:val="007A6B5E"/>
    <w:rsid w:val="007B12B8"/>
    <w:rsid w:val="007C3073"/>
    <w:rsid w:val="007C7205"/>
    <w:rsid w:val="007D28C5"/>
    <w:rsid w:val="007D4E2D"/>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52AFB"/>
    <w:rsid w:val="008540BD"/>
    <w:rsid w:val="00860323"/>
    <w:rsid w:val="00883B84"/>
    <w:rsid w:val="008859BC"/>
    <w:rsid w:val="008929FF"/>
    <w:rsid w:val="008936D5"/>
    <w:rsid w:val="008A7C6B"/>
    <w:rsid w:val="008C0553"/>
    <w:rsid w:val="008C305A"/>
    <w:rsid w:val="008C4718"/>
    <w:rsid w:val="008C777C"/>
    <w:rsid w:val="008D3EC8"/>
    <w:rsid w:val="008D5AB1"/>
    <w:rsid w:val="008E414D"/>
    <w:rsid w:val="008F09D5"/>
    <w:rsid w:val="008F3131"/>
    <w:rsid w:val="008F7D9C"/>
    <w:rsid w:val="00905260"/>
    <w:rsid w:val="0091371E"/>
    <w:rsid w:val="00917516"/>
    <w:rsid w:val="00926015"/>
    <w:rsid w:val="00936B1C"/>
    <w:rsid w:val="00963010"/>
    <w:rsid w:val="00966802"/>
    <w:rsid w:val="009670EF"/>
    <w:rsid w:val="00970B2A"/>
    <w:rsid w:val="0097731A"/>
    <w:rsid w:val="0098199C"/>
    <w:rsid w:val="009852D3"/>
    <w:rsid w:val="00992667"/>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BF7301"/>
    <w:rsid w:val="00C005AC"/>
    <w:rsid w:val="00C0308D"/>
    <w:rsid w:val="00C105A6"/>
    <w:rsid w:val="00C22106"/>
    <w:rsid w:val="00C24B9E"/>
    <w:rsid w:val="00C25D76"/>
    <w:rsid w:val="00C4114C"/>
    <w:rsid w:val="00C6125A"/>
    <w:rsid w:val="00C70E8E"/>
    <w:rsid w:val="00C77E60"/>
    <w:rsid w:val="00C87D50"/>
    <w:rsid w:val="00C92C97"/>
    <w:rsid w:val="00C94C49"/>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47548"/>
    <w:rsid w:val="00D54B8B"/>
    <w:rsid w:val="00D572F8"/>
    <w:rsid w:val="00D60320"/>
    <w:rsid w:val="00D76B9B"/>
    <w:rsid w:val="00D82794"/>
    <w:rsid w:val="00D87519"/>
    <w:rsid w:val="00DA00E7"/>
    <w:rsid w:val="00DA77AA"/>
    <w:rsid w:val="00DB103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84A9B"/>
    <w:rsid w:val="00E931BE"/>
    <w:rsid w:val="00EA0BC1"/>
    <w:rsid w:val="00EA7C0C"/>
    <w:rsid w:val="00EB52B7"/>
    <w:rsid w:val="00EB785C"/>
    <w:rsid w:val="00EC04DE"/>
    <w:rsid w:val="00EC1614"/>
    <w:rsid w:val="00EC46DE"/>
    <w:rsid w:val="00EC5280"/>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5169"/>
    <o:shapelayout v:ext="edit">
      <o:idmap v:ext="edit" data="1"/>
    </o:shapelayout>
  </w:shapeDefaults>
  <w:decimalSymbol w:val=","/>
  <w:listSeparator w:val=";"/>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optp.vlada.gov.sk/programovy-dokument/" TargetMode="External"/><Relationship Id="rId39" Type="http://schemas.openxmlformats.org/officeDocument/2006/relationships/hyperlink" Target="http://www.partnerskadohoda.gov.sk/273-sk/koordinacia-synergii-a-komplementarit-medzi-esif-a-ostatnymi-nastrojmi-podpory-eu-a-sr/" TargetMode="External"/><Relationship Id="rId21" Type="http://schemas.openxmlformats.org/officeDocument/2006/relationships/hyperlink" Target="https://www.optp.vlada.gov.sk/predkladanie-ziadosti-o-nfp/" TargetMode="External"/><Relationship Id="rId34" Type="http://schemas.openxmlformats.org/officeDocument/2006/relationships/hyperlink" Target="http://www.gender.gov.sk" TargetMode="External"/><Relationship Id="rId42" Type="http://schemas.openxmlformats.org/officeDocument/2006/relationships/header" Target="head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programovy-dokument/" TargetMode="External"/><Relationship Id="rId29" Type="http://schemas.openxmlformats.org/officeDocument/2006/relationships/hyperlink" Target="http://www.optp.vlada.gov.sk/ine-dokumenty/"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ine-dokumenty/" TargetMode="External"/><Relationship Id="rId32" Type="http://schemas.openxmlformats.org/officeDocument/2006/relationships/hyperlink" Target="http://www.optp.vlada.gov.sk/ine-dokumenty/" TargetMode="External"/><Relationship Id="rId37" Type="http://schemas.openxmlformats.org/officeDocument/2006/relationships/hyperlink" Target="http://www.optp.vlada.gov.sk/ine-dokumenty/" TargetMode="External"/><Relationship Id="rId40" Type="http://schemas.openxmlformats.org/officeDocument/2006/relationships/hyperlink" Target="http://www.ecas.org/"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optp.vlada.gov.sk" TargetMode="External"/><Relationship Id="rId23" Type="http://schemas.openxmlformats.org/officeDocument/2006/relationships/hyperlink" Target="http://www.optp.vlada.gov.sk/ine-dokumenty/" TargetMode="External"/><Relationship Id="rId28" Type="http://schemas.openxmlformats.org/officeDocument/2006/relationships/hyperlink" Target="http://www.partnerskadohoda.gov.sk/metodicke-pokyny-cko-a-uv-sr/" TargetMode="External"/><Relationship Id="rId36" Type="http://schemas.openxmlformats.org/officeDocument/2006/relationships/hyperlink" Target="http://www.optp.vlada.gov.sk/ine-dokumenty/" TargetMode="External"/><Relationship Id="rId10" Type="http://schemas.openxmlformats.org/officeDocument/2006/relationships/hyperlink" Target="http://www.itms2014" TargetMode="External"/><Relationship Id="rId19" Type="http://schemas.openxmlformats.org/officeDocument/2006/relationships/hyperlink" Target="https://www.optp.vlada.gov.sk/ine-dokumenty/" TargetMode="External"/><Relationship Id="rId31" Type="http://schemas.openxmlformats.org/officeDocument/2006/relationships/hyperlink" Target="http://www.partnerskadohoda.gov.sk/vzory-cko/"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mailto:projektyoptp@vicepremier.gov.sk" TargetMode="External"/><Relationship Id="rId22" Type="http://schemas.openxmlformats.org/officeDocument/2006/relationships/hyperlink" Target="http://www.partnerskadohoda.gov.sk/metodicke-pokyny-cko-a-uv-sr/" TargetMode="External"/><Relationship Id="rId27" Type="http://schemas.openxmlformats.org/officeDocument/2006/relationships/hyperlink" Target="http://www.partnerskadohoda.gov.sk/metodicke-pokyny-cko-a-uv-sr/" TargetMode="External"/><Relationship Id="rId30" Type="http://schemas.openxmlformats.org/officeDocument/2006/relationships/hyperlink" Target="http://www.optp.vlada.gov.sk/ine-dokumenty/" TargetMode="External"/><Relationship Id="rId35" Type="http://schemas.openxmlformats.org/officeDocument/2006/relationships/hyperlink" Target="http://www.diskriminacia.gov.sk" TargetMode="External"/><Relationship Id="rId43" Type="http://schemas.openxmlformats.org/officeDocument/2006/relationships/footer" Target="footer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www.ITMS2014.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optp.vlada.gov.sk/ine-dokumenty/" TargetMode="External"/><Relationship Id="rId33" Type="http://schemas.openxmlformats.org/officeDocument/2006/relationships/hyperlink" Target="http://www.finance.gov.sk/Default.aspx?CatID=9348" TargetMode="External"/><Relationship Id="rId38" Type="http://schemas.openxmlformats.org/officeDocument/2006/relationships/hyperlink" Target="http://www.itms2014.sk" TargetMode="External"/><Relationship Id="rId20" Type="http://schemas.openxmlformats.org/officeDocument/2006/relationships/hyperlink" Target="https://www.optp.vlada.gov.sk/ine-dokumenty/" TargetMode="External"/><Relationship Id="rId41" Type="http://schemas.openxmlformats.org/officeDocument/2006/relationships/hyperlink" Target="http://www.olaf.vlada.gov.sk/system-vcasneho-odhalovania-rizika-a-vylucenia-e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300CEF-ACA4-4B33-A738-742C7DAB1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27</Pages>
  <Words>10582</Words>
  <Characters>60320</Characters>
  <Application>Microsoft Office Word</Application>
  <DocSecurity>0</DocSecurity>
  <Lines>502</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65</cp:revision>
  <dcterms:created xsi:type="dcterms:W3CDTF">2020-09-08T11:58:00Z</dcterms:created>
  <dcterms:modified xsi:type="dcterms:W3CDTF">2021-03-25T10:25:00Z</dcterms:modified>
</cp:coreProperties>
</file>