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958" w:rsidRDefault="00027958" w:rsidP="00027958">
      <w:pPr>
        <w:pStyle w:val="Nadpis2"/>
      </w:pPr>
      <w:bookmarkStart w:id="0" w:name="_GoBack"/>
      <w:r>
        <w:t xml:space="preserve">Príloha č. 16 </w:t>
      </w:r>
      <w:r w:rsidRPr="000C29DB">
        <w:t>Stratégia OP TP podľa oblastí podpory</w:t>
      </w:r>
      <w:r>
        <w:t xml:space="preserve"> / </w:t>
      </w:r>
      <w:r w:rsidRPr="00DE12F4">
        <w:t>Výsledky realizácie, skúsenosti a poučenia z programového obdobia 2007 – 2013</w:t>
      </w:r>
      <w:bookmarkEnd w:id="0"/>
    </w:p>
    <w:tbl>
      <w:tblPr>
        <w:tblW w:w="6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5"/>
        <w:gridCol w:w="1089"/>
        <w:gridCol w:w="993"/>
        <w:gridCol w:w="992"/>
      </w:tblGrid>
      <w:tr w:rsidR="00027958" w:rsidRPr="00105B60" w:rsidTr="00412E25">
        <w:trPr>
          <w:trHeight w:val="1434"/>
          <w:tblHeader/>
          <w:jc w:val="center"/>
        </w:trPr>
        <w:tc>
          <w:tcPr>
            <w:tcW w:w="6629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105B60" w:rsidRDefault="00027958" w:rsidP="00412E25">
            <w:pPr>
              <w:pStyle w:val="Popis"/>
              <w:spacing w:after="0"/>
              <w:rPr>
                <w:b w:val="0"/>
                <w:sz w:val="16"/>
                <w:szCs w:val="16"/>
              </w:rPr>
            </w:pPr>
            <w:bookmarkStart w:id="1" w:name="_Toc397799653"/>
            <w:bookmarkStart w:id="2" w:name="_Toc397890708"/>
            <w:bookmarkStart w:id="3" w:name="_Toc403648704"/>
            <w:r>
              <w:t xml:space="preserve">Tabuľka </w:t>
            </w:r>
            <w:r>
              <w:fldChar w:fldCharType="begin"/>
            </w:r>
            <w:r>
              <w:instrText xml:space="preserve"> SEQ Tabuľka \* ARABIC </w:instrText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  <w:r>
              <w:t xml:space="preserve"> </w:t>
            </w:r>
            <w:r w:rsidRPr="004A6DF2">
              <w:t>Stratégia OP TP podľa oblastí podpory</w:t>
            </w:r>
            <w:bookmarkEnd w:id="1"/>
            <w:bookmarkEnd w:id="2"/>
            <w:bookmarkEnd w:id="3"/>
          </w:p>
        </w:tc>
      </w:tr>
      <w:tr w:rsidR="00027958" w:rsidRPr="00105B60" w:rsidTr="00412E25">
        <w:trPr>
          <w:tblHeader/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b/>
                <w:sz w:val="16"/>
                <w:szCs w:val="16"/>
              </w:rPr>
            </w:pPr>
            <w:r w:rsidRPr="00105B60">
              <w:rPr>
                <w:b/>
                <w:sz w:val="16"/>
                <w:szCs w:val="16"/>
              </w:rPr>
              <w:t>Strategická oblasť / návrh opatrenia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b/>
                <w:sz w:val="16"/>
                <w:szCs w:val="16"/>
              </w:rPr>
            </w:pPr>
            <w:r w:rsidRPr="00105B60">
              <w:rPr>
                <w:b/>
                <w:sz w:val="16"/>
                <w:szCs w:val="16"/>
              </w:rPr>
              <w:t>Priorita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Default="00027958" w:rsidP="00412E25">
            <w:pPr>
              <w:pStyle w:val="Zkladntex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Dôležitosť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b/>
                <w:sz w:val="16"/>
                <w:szCs w:val="16"/>
              </w:rPr>
            </w:pPr>
            <w:r w:rsidRPr="00105B60">
              <w:rPr>
                <w:b/>
                <w:sz w:val="16"/>
                <w:szCs w:val="16"/>
              </w:rPr>
              <w:t>Náročnosť</w:t>
            </w:r>
            <w:r>
              <w:rPr>
                <w:b/>
                <w:sz w:val="16"/>
                <w:szCs w:val="16"/>
              </w:rPr>
              <w:t xml:space="preserve"> implementácie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rFonts w:cs="Arial"/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Zníženie počtu OP a priorít financovaných z EŠIF, vrátane revízie štruktúry RO a SORO 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ind w:left="340" w:hanging="34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Posilnenie centrálnej regulačnej kompetencie CKO 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ind w:left="340" w:hanging="340"/>
              <w:contextualSpacing/>
              <w:jc w:val="left"/>
              <w:rPr>
                <w:rFonts w:cs="Arial"/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Posilnenie kompetencie ÚVO v oblasti kontroly VO 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ind w:left="340" w:hanging="340"/>
              <w:contextualSpacing/>
              <w:jc w:val="left"/>
              <w:rPr>
                <w:rFonts w:cs="Arial"/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Posilnenie kompetencie OCKÚ OLAF 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Zapracovanie opatrení vyplývajúcich zo stratégie pre AK do centrálnych podporných nástrojov, najmä systému riadenia EŠIF, systému finančného riadenia EŠIF a ITMS2014</w:t>
            </w:r>
            <w:r>
              <w:rPr>
                <w:sz w:val="16"/>
                <w:szCs w:val="16"/>
                <w:lang w:val="sk-SK"/>
              </w:rPr>
              <w:t>-2020</w:t>
            </w:r>
            <w:r w:rsidRPr="005C7063">
              <w:rPr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Návrh zmien v kompetenciách špecializovaného subjektu CO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Návrh zmien v kompetenciách špecializovaného subjektu CKO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Návrh zmien v kompetenciách špecializovaného subjektu OA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Návrh zmien v kompetenciách GHP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Návrh zmien v kompetenciách špecializovaného subjektu OCKÚ OLAF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Definícia konfliktu záujmov a implementácia konfliktu záujmov do procesov riadenia a implementácie EŠIF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Posilnenie OCKÚ OLAF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Zverejňovanie hodnotiacich hárkov z odborného hodnotenia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Priraďovanie náhodných identifikátorov k Žiadostiam o</w:t>
            </w:r>
            <w:r>
              <w:rPr>
                <w:sz w:val="16"/>
                <w:szCs w:val="16"/>
                <w:lang w:val="sk-SK"/>
              </w:rPr>
              <w:t> </w:t>
            </w:r>
            <w:r w:rsidRPr="005C7063">
              <w:rPr>
                <w:sz w:val="16"/>
                <w:szCs w:val="16"/>
                <w:lang w:val="sk-SK"/>
              </w:rPr>
              <w:t>NFP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Zadefinovanie zoznamu povinne zverejňovaných </w:t>
            </w:r>
            <w:r w:rsidRPr="005C7063">
              <w:rPr>
                <w:sz w:val="16"/>
                <w:szCs w:val="16"/>
                <w:lang w:val="sk-SK"/>
              </w:rPr>
              <w:lastRenderedPageBreak/>
              <w:t>informácii o schválených, neschválených a implementovaných projektoch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Zverejňovanie informácie na spoločnom verejne dostupnom mieste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Vyhotovovanie audiovizuálnych záznamov z vybraných procesov a</w:t>
            </w:r>
            <w:r>
              <w:rPr>
                <w:sz w:val="16"/>
                <w:szCs w:val="16"/>
                <w:lang w:val="sk-SK"/>
              </w:rPr>
              <w:t> </w:t>
            </w:r>
            <w:r w:rsidRPr="005C7063">
              <w:rPr>
                <w:sz w:val="16"/>
                <w:szCs w:val="16"/>
                <w:lang w:val="sk-SK"/>
              </w:rPr>
              <w:t>stretnutí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Zavedenie zákazu konfliktu záujmov do procesu verejného obstarávania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szCs w:val="24"/>
              </w:rPr>
            </w:pPr>
            <w:r w:rsidRPr="005C7063">
              <w:rPr>
                <w:bCs/>
                <w:sz w:val="16"/>
                <w:szCs w:val="16"/>
              </w:rPr>
              <w:t>Personálne posilniť útvary ÚVO podieľajúce sa na činnostiach spojených s dohľadom nad VO pri projektoch spolufinancovaných z prostriedkov EÚ a zabezpečiť využitie podpory z prostriedkov technickej pomoci na tento účel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szCs w:val="24"/>
              </w:rPr>
            </w:pPr>
            <w:r w:rsidRPr="005C7063">
              <w:rPr>
                <w:bCs/>
                <w:sz w:val="16"/>
                <w:szCs w:val="16"/>
              </w:rPr>
              <w:t>Pravidelne vypracúvať rizikovú analýzu pre výkon kontrol VO pri zákazkách spolufinancovaných z prostriedkov EÚ a na základe jej výsledkov poskytnúť inštrukcie pre RO pre skvalitnenie výkonu kontrol VO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szCs w:val="24"/>
              </w:rPr>
            </w:pPr>
            <w:r w:rsidRPr="005C7063">
              <w:rPr>
                <w:bCs/>
                <w:sz w:val="16"/>
                <w:szCs w:val="16"/>
              </w:rPr>
              <w:t>Dotvoriť ucelenú celo-organizačnú koncepciu budovania personálnych kapacít a zabezpečiť zvýšenie finančného ohodnotenia kľúčových odborných zamestnancov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szCs w:val="24"/>
              </w:rPr>
            </w:pPr>
            <w:r w:rsidRPr="005C7063">
              <w:rPr>
                <w:bCs/>
                <w:sz w:val="16"/>
                <w:szCs w:val="16"/>
              </w:rPr>
              <w:t>Zabezpečiť komplexné a pravidelné vzdelávanie a možnosti ďalšieho profesionálneho rastu zamestnancov ÚVO vrátane priameho kontaktu s praxou výkonu VO v SR i v ďalších krajinách EÚ.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szCs w:val="24"/>
              </w:rPr>
            </w:pPr>
            <w:r w:rsidRPr="005C7063">
              <w:rPr>
                <w:bCs/>
                <w:sz w:val="16"/>
                <w:szCs w:val="16"/>
              </w:rPr>
              <w:t>Posilniť súčinnosť ÚVO s</w:t>
            </w:r>
            <w:r>
              <w:rPr>
                <w:bCs/>
                <w:sz w:val="16"/>
                <w:szCs w:val="16"/>
              </w:rPr>
              <w:t> </w:t>
            </w:r>
            <w:r w:rsidRPr="005C7063">
              <w:rPr>
                <w:bCs/>
                <w:sz w:val="16"/>
                <w:szCs w:val="16"/>
              </w:rPr>
              <w:t>CKO</w:t>
            </w:r>
            <w:r>
              <w:rPr>
                <w:bCs/>
                <w:sz w:val="16"/>
                <w:szCs w:val="16"/>
              </w:rPr>
              <w:t>, OA</w:t>
            </w:r>
            <w:r w:rsidRPr="005C7063">
              <w:rPr>
                <w:bCs/>
                <w:sz w:val="16"/>
                <w:szCs w:val="16"/>
              </w:rPr>
              <w:t xml:space="preserve"> v oblasti metodického riadenia a usmerňovania pre oblasť VO a pre výkon kontroly VO a vypracovať modelové riešenia pre najčastejšie porušenia zákona o VO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bCs/>
                <w:sz w:val="16"/>
                <w:szCs w:val="16"/>
              </w:rPr>
            </w:pPr>
            <w:r w:rsidRPr="005C7063">
              <w:rPr>
                <w:bCs/>
                <w:sz w:val="16"/>
                <w:szCs w:val="16"/>
              </w:rPr>
              <w:lastRenderedPageBreak/>
              <w:t>Prehodnotiť kvalifikačné výberové kritériá pre obsadzovanie pracovných pozícií na ÚVO a rozšíriť portfólio konzultantov a odborníkov v špecializovaných oblastiach pre výkon kontroly VO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bCs/>
                <w:sz w:val="16"/>
                <w:szCs w:val="16"/>
              </w:rPr>
            </w:pPr>
            <w:r w:rsidRPr="005C7063">
              <w:rPr>
                <w:bCs/>
                <w:sz w:val="16"/>
                <w:szCs w:val="16"/>
              </w:rPr>
              <w:t>Zvýšiť ponuku vzdelávania v oblasti VO pre RO / SORO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bCs/>
                <w:sz w:val="16"/>
                <w:szCs w:val="16"/>
              </w:rPr>
            </w:pPr>
            <w:r w:rsidRPr="005C7063">
              <w:rPr>
                <w:bCs/>
                <w:sz w:val="16"/>
                <w:szCs w:val="16"/>
              </w:rPr>
              <w:t>Inštruovať RO / SORO o podmienkach dohody o spolupráci medzi CKO a ÚVO a akcentovať pokyny pre podávanie žiadostí o výkon kontroly VO zo strany ÚVO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bCs/>
                <w:sz w:val="16"/>
                <w:szCs w:val="16"/>
              </w:rPr>
            </w:pPr>
            <w:r w:rsidRPr="005C7063">
              <w:rPr>
                <w:bCs/>
                <w:sz w:val="16"/>
                <w:szCs w:val="16"/>
              </w:rPr>
              <w:t>Overenie pripravenosti ÚVO auditom súladu a zabezpečenie účasti ÚVO na auditoch EK a EDA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Návrh optimálnej organizačnej štruktúry RO/SORO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Návrh optimálnej organizačnej štruktúry špecifické RO/SORO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Zjednotenie pravidiel podávania a hodnotenia žiadostí o NFP a plánovanie výziev, vrátane dvojkolového hodnotenia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Doplnenie a posilnenie procesu </w:t>
            </w:r>
            <w:proofErr w:type="spellStart"/>
            <w:r w:rsidRPr="005C7063">
              <w:rPr>
                <w:sz w:val="16"/>
                <w:szCs w:val="16"/>
                <w:lang w:val="sk-SK"/>
              </w:rPr>
              <w:t>quality</w:t>
            </w:r>
            <w:proofErr w:type="spellEnd"/>
            <w:r w:rsidRPr="005C706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5C7063">
              <w:rPr>
                <w:sz w:val="16"/>
                <w:szCs w:val="16"/>
                <w:lang w:val="sk-SK"/>
              </w:rPr>
              <w:t>assurance</w:t>
            </w:r>
            <w:proofErr w:type="spellEnd"/>
            <w:r w:rsidRPr="005C7063">
              <w:rPr>
                <w:sz w:val="16"/>
                <w:szCs w:val="16"/>
                <w:lang w:val="sk-SK"/>
              </w:rPr>
              <w:t xml:space="preserve"> riadiaceho orgánu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Rozšírenie funkcionality ITMS 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Definovanie  pozície v rámci subjektu  (potrebné zaviesť štandardizované pracovných pozícií)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Definovanie vykonávaných procesov pre dané pozície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Definovanie popisov činností k vykonávaným procesom.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Posilnenie </w:t>
            </w:r>
            <w:r>
              <w:rPr>
                <w:sz w:val="16"/>
                <w:szCs w:val="16"/>
                <w:lang w:val="sk-SK"/>
              </w:rPr>
              <w:t>AK</w:t>
            </w:r>
            <w:r w:rsidRPr="005C7063">
              <w:rPr>
                <w:sz w:val="16"/>
                <w:szCs w:val="16"/>
                <w:lang w:val="sk-SK"/>
              </w:rPr>
              <w:t xml:space="preserve"> v rámci osobných úradov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Zmena pravidiel pri predlžovaní dočasnej štátnej služby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lastRenderedPageBreak/>
              <w:t>Zavedenie pozitívnej motivácie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Zmena štruktúry riadenia a výberu vedúcich pracovníkov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Subjekty RO/SORO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Špecifické RO/SORO (RO OPTP, SORO VÚC IROP)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Zadefinovanie vykonávaných procesov k navrhovaným štandardizovaným pozíciám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Vymedzenie okruhov zodpovedností pre štandardizované pracovné pozície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Kvalifikačné predpoklady pre štandardizované pracovné pozície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Kvalifikačné predpoklady pre riadiace pozície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Zadefinovanie maximálneho percenta zamestnancov bez  odbornej praxe na úrovni odborov/oddelení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Vytvorenie útvaru zodpovedného za riadenie vzdelávania pre EŠIF na centrálnej úrovni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Vytvorenie systému kontinuálneho vzdelávania pre EŠIF na centrálnej úrovni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Vytvorenie systému </w:t>
            </w:r>
            <w:proofErr w:type="spellStart"/>
            <w:r w:rsidRPr="005C7063">
              <w:rPr>
                <w:sz w:val="16"/>
                <w:szCs w:val="16"/>
                <w:lang w:val="sk-SK"/>
              </w:rPr>
              <w:t>mentoringu</w:t>
            </w:r>
            <w:proofErr w:type="spellEnd"/>
            <w:r w:rsidRPr="005C7063">
              <w:rPr>
                <w:sz w:val="16"/>
                <w:szCs w:val="16"/>
                <w:lang w:val="sk-SK"/>
              </w:rPr>
              <w:t>/tútorstva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Posilnenie kapacít subjektov zapojených do implementácie EŠIF v oblasti rozvoja ľudských zdrojov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Nastavenie štandardizovaných popisov pracovných činností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Nastavenie a hodnotenie výkonových ukazovateľov pre vybrané pracovné pozície RO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Nastavenie a hodnotenie kompetencií riadiaceho orgánu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Prednostné obsadzovanie riadiacich pozícií z interných zdrojov subjektu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Kariérny rast mimo úroveň riadiacich pozícií – vytvorenie kariérnych stupňov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Nízka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bCs/>
                <w:sz w:val="16"/>
                <w:szCs w:val="16"/>
              </w:rPr>
            </w:pPr>
            <w:r w:rsidRPr="005C7063">
              <w:rPr>
                <w:bCs/>
                <w:sz w:val="16"/>
                <w:szCs w:val="16"/>
              </w:rPr>
              <w:lastRenderedPageBreak/>
              <w:t xml:space="preserve">Upraviť „Metodický pokyn CKO k sledovaniu údajov o </w:t>
            </w:r>
            <w:r>
              <w:rPr>
                <w:bCs/>
                <w:sz w:val="16"/>
                <w:szCs w:val="16"/>
              </w:rPr>
              <w:t>AK</w:t>
            </w:r>
            <w:r w:rsidRPr="005C7063">
              <w:rPr>
                <w:bCs/>
                <w:sz w:val="16"/>
                <w:szCs w:val="16"/>
              </w:rPr>
              <w:t xml:space="preserve"> subjektov zapojených do implementácie, certifikácie a vládneho auditu </w:t>
            </w:r>
            <w:r>
              <w:rPr>
                <w:bCs/>
                <w:sz w:val="16"/>
                <w:szCs w:val="16"/>
              </w:rPr>
              <w:t>EŠIF</w:t>
            </w:r>
            <w:r w:rsidRPr="005C7063">
              <w:rPr>
                <w:bCs/>
                <w:sz w:val="16"/>
                <w:szCs w:val="16"/>
              </w:rPr>
              <w:t xml:space="preserve"> v programovom období 2014</w:t>
            </w:r>
            <w:r>
              <w:rPr>
                <w:bCs/>
                <w:sz w:val="16"/>
                <w:szCs w:val="16"/>
              </w:rPr>
              <w:t>-2020</w:t>
            </w:r>
            <w:r w:rsidRPr="005C7063">
              <w:rPr>
                <w:bCs/>
                <w:sz w:val="16"/>
                <w:szCs w:val="16"/>
              </w:rPr>
              <w:t>“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bCs/>
                <w:sz w:val="16"/>
                <w:szCs w:val="16"/>
              </w:rPr>
            </w:pPr>
            <w:r w:rsidRPr="005C7063">
              <w:rPr>
                <w:bCs/>
                <w:sz w:val="16"/>
                <w:szCs w:val="16"/>
              </w:rPr>
              <w:t>Zavedenie prvkov strategického riadenia ľudských zdrojov na každom subjekte zapojenom do riadenia a implementácie programov EŠIF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rPr>
                <w:bCs/>
                <w:sz w:val="16"/>
                <w:szCs w:val="16"/>
              </w:rPr>
            </w:pPr>
            <w:r w:rsidRPr="005C7063">
              <w:rPr>
                <w:bCs/>
                <w:sz w:val="16"/>
                <w:szCs w:val="16"/>
              </w:rPr>
              <w:t xml:space="preserve">Posilnenie kompetencie Centrálneho koordinačného orgánu v procese monitorovania, vyhodnocovania a plánovania potrieb </w:t>
            </w:r>
            <w:r>
              <w:rPr>
                <w:bCs/>
                <w:sz w:val="16"/>
                <w:szCs w:val="16"/>
              </w:rPr>
              <w:t>AK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spacing w:before="130" w:after="130"/>
              <w:jc w:val="center"/>
              <w:rPr>
                <w:szCs w:val="24"/>
              </w:rPr>
            </w:pPr>
            <w:r w:rsidRPr="00105B60">
              <w:rPr>
                <w:sz w:val="16"/>
                <w:szCs w:val="16"/>
              </w:rPr>
              <w:t>Stredná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Zavedenie prvkov hodnotenia efektivity na každom subjekte zapojenom do riadenia a implementácie programov EŠIF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Riadenie a monitorovanie implementácie opatrení, návrhov a projektov zameraných na AK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Monitorovanie cieľových výsledkov a dopadov implementácie stratégie AK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ind w:left="340" w:hanging="34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Vytvorenie koordinačných skupín pre:</w:t>
            </w:r>
          </w:p>
          <w:p w:rsidR="00027958" w:rsidRPr="005C7063" w:rsidRDefault="00027958" w:rsidP="00027958">
            <w:pPr>
              <w:pStyle w:val="Zoznamsodrkami"/>
              <w:numPr>
                <w:ilvl w:val="0"/>
                <w:numId w:val="3"/>
              </w:numPr>
              <w:spacing w:after="0"/>
              <w:ind w:left="175" w:hanging="175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Infraštruktúru (OP Integrovaná infraštruktúra, OP Kvalita životného prostredia)</w:t>
            </w:r>
          </w:p>
          <w:p w:rsidR="00027958" w:rsidRPr="005C7063" w:rsidRDefault="00027958" w:rsidP="00027958">
            <w:pPr>
              <w:pStyle w:val="Zoznamsodrkami"/>
              <w:numPr>
                <w:ilvl w:val="0"/>
                <w:numId w:val="3"/>
              </w:numPr>
              <w:spacing w:after="0"/>
              <w:ind w:left="175" w:hanging="175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Výskum a inovácie (OP Výskum a inovácie)</w:t>
            </w:r>
          </w:p>
          <w:p w:rsidR="00027958" w:rsidRPr="005C7063" w:rsidRDefault="00027958" w:rsidP="00027958">
            <w:pPr>
              <w:pStyle w:val="Zoznamsodrkami"/>
              <w:numPr>
                <w:ilvl w:val="0"/>
                <w:numId w:val="3"/>
              </w:numPr>
              <w:spacing w:after="0"/>
              <w:ind w:left="175" w:hanging="175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Európsky sociálny fond (OP Ľudské zdroje a OP Efektívna verejná správa)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Priebežné sledovanie procesu prípravy veľkých a národných projektov (napr. štvrťročne)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Posudzovanie pokroku v príprave veľkých a národných projektov a identifikáciu problémov (potrieb)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Predbežné posúdenie kvality obsahových zámerov národných projektov a ich väzby na ciele v predmetnej oblasti (napr. stratégia Európa 2020)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Priebežné sledovanie pokroku v implementácii veľkých a národných projektov a identifikáciu problémov (potrieb)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lastRenderedPageBreak/>
              <w:t>Monitorovanie a posudzovanie výstupov a výsledkov veľkých a národných projektov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Prijímanie opatrení na zabezpečenie včasnej, efektívnej a účinnej prípravy a implementácie veľkých a národných projektov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ind w:left="340" w:hanging="340"/>
              <w:contextualSpacing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Včasné plánovanie a príprava veľkých projektov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ind w:left="34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Uskutočňovanie odborných konzultácií so žiadateľmi ku všetkým oblastiam v rámci nastavovania podmienok poskytovania pomoci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Intenzívnejšie využívanie prezentácií a </w:t>
            </w:r>
            <w:proofErr w:type="spellStart"/>
            <w:r w:rsidRPr="005C7063">
              <w:rPr>
                <w:sz w:val="16"/>
                <w:szCs w:val="16"/>
                <w:lang w:val="sk-SK"/>
              </w:rPr>
              <w:t>workshopov</w:t>
            </w:r>
            <w:proofErr w:type="spellEnd"/>
            <w:r w:rsidRPr="005C7063">
              <w:rPr>
                <w:sz w:val="16"/>
                <w:szCs w:val="16"/>
                <w:lang w:val="sk-SK"/>
              </w:rPr>
              <w:t xml:space="preserve"> ako možností na výmenu skúseností v rámci odbornej verejnosti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Vybudovanie podporného tímu vrátane potrebnej odbornej kvality ľudských zdrojov na strane RO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Vzdelávanie výkonných manažérov poskytovateľov a žiadateľov (napr. oblasť tvorby rozpočtov, CBA)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Stabilita pravidiel najmä v oblasti oprávnených výdavkov a z toho vyplývajúca stabilita podporných dokumentov 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Stabilita v oblasti VO (legislatíva, ÚVO, vzdelávanie)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Častejšie uskutočňovanie kontrol na mieste a kontrolných dní počas realizácie projektov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Zmenové konanie – lepšia flexibilita a nižšia administratívna náročnosť 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ind w:left="340" w:hanging="34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Inovatívne nástroje podpory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ind w:left="340" w:hanging="34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lastRenderedPageBreak/>
              <w:t>Klientsky orientovaný prístup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ind w:left="340" w:hanging="340"/>
              <w:contextualSpacing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Kvalita a stabilita ľudských zdrojov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ind w:left="340" w:hanging="34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Vyvážený systém práv a povinností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Zrozumiteľnosť a stabilita pravidiel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Stanovenie odborného garanta v oblasti štátnej pomoci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Zlepšenie kvality centrálneho webového portálu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Zlepšenie kvality informačných podujatí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Záväznosť harmonogramov výziev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Intenzívnejšie využívanie elektronickej komunikácie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Zníženie množstva dokumentov a príloh pri predkladaní projektov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Zjednodušenie písaných pravidiel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Zefektívnenie podpory žiadateľov/prijímateľov a zvýšenie podielu zapojenia interných kapacít do procesov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Presnejšia adresnosť výziev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Variabilita intervalov vyhlásených výziev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trHeight w:val="926"/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lastRenderedPageBreak/>
              <w:t>Zavedenie 2-kolového systému schvaľovania projektov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trHeight w:val="419"/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Stabilizácia a zefektívnenie procedúr VO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Zjednodušenie zmenových konaní a úprav v projektoch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Modifikácia systému vykonávaných kontrol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Zlepšenie situácie prijímateľov vo finančnej oblasti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Integrovaná sieť poradenských centier EŠIF</w:t>
            </w:r>
          </w:p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Dosiahnuť politický konsenzus o strategických cieľoch fungovania štátnej správy a definovať základné princípy pre výkon štátnej služby ako východisko pre zákon o štátnej službe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Zriadenie subjektu/útvaru zodpovedného za koordináciu výkonu štátnej služby na centrálnej úrovni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Vypracovanie sekundárnej legislatívy a implementačných mechanizmov na centrálnej úrovni tak, aby zabezpečili  systémovo jednotnú a efektívnu aplikáciu zákona v praxi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Určiť stupeň v organizačnej štruktúre, od ktorého nižšie nebudú štátnozamestnanecké miesta podliehať politickým vplyvom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Posilniť odbornosť a rozšíriť kompetencie osobných úradov v riadení ľudských zdrojov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Zrušiť inštitút dočasnej štátnej služby a zriadiť nový druh štátnej služby, ktorý podlieha povinnosti výberového konania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 xml:space="preserve">Stanoviť odbornosť a kvalifikáciu ako hlavné kritériá pre výber a prijímanie zamestnancov do </w:t>
            </w:r>
            <w:r w:rsidRPr="005C7063">
              <w:rPr>
                <w:sz w:val="16"/>
                <w:szCs w:val="16"/>
                <w:lang w:val="sk-SK"/>
              </w:rPr>
              <w:lastRenderedPageBreak/>
              <w:t>štátnej služby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lastRenderedPageBreak/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lastRenderedPageBreak/>
              <w:t>Zrušiť inštitút vnútorného výberového konania, zaviesť jednotný systém výberového konania a posilniť jeho transparentnosť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Zaviesť povinné hodnotenie výkonnosti štátnych zamestnancov ako súčasť systému odmeňovania a motivácie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Skrátiť adaptačné vzdelávanie na 3 mesiace; nešpecifikovať konkrétny obsah vzdelávania v zákone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Zaviesť vzdelávacie štandardy na konkrétne pracovné pozície v štátnej službe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Zavedenie inštitútu mentora/tútora pre novoprijatých zamestnancov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Prehodnotiť systém odmeňovania v štátnej službe, zadefinovať jeho silné a slabé stránky a navrhnúť možnosti jeho zlepšenia, prípadne navrhnúť nový systém odmeňovania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Zaviesť systém kariérneho rastu v rámci štátnej služby ako jedného z najvýznamnejších motivačných nástrojov stability štátnych zamestnancov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  <w:tr w:rsidR="00027958" w:rsidRPr="00105B60" w:rsidTr="00412E25">
        <w:trPr>
          <w:jc w:val="center"/>
        </w:trPr>
        <w:tc>
          <w:tcPr>
            <w:tcW w:w="3555" w:type="dxa"/>
            <w:shd w:val="clear" w:color="auto" w:fill="C6D9F1"/>
          </w:tcPr>
          <w:p w:rsidR="00027958" w:rsidRPr="005C7063" w:rsidRDefault="00027958" w:rsidP="00412E25">
            <w:pPr>
              <w:pStyle w:val="Zoznamsodrkami"/>
              <w:numPr>
                <w:ilvl w:val="0"/>
                <w:numId w:val="0"/>
              </w:numPr>
              <w:spacing w:after="0"/>
              <w:contextualSpacing/>
              <w:jc w:val="left"/>
              <w:rPr>
                <w:sz w:val="16"/>
                <w:szCs w:val="16"/>
                <w:lang w:val="sk-SK"/>
              </w:rPr>
            </w:pPr>
            <w:r w:rsidRPr="005C7063">
              <w:rPr>
                <w:sz w:val="16"/>
                <w:szCs w:val="16"/>
                <w:lang w:val="sk-SK"/>
              </w:rPr>
              <w:t>Kariérny rast mimo úroveň riadiacich pozícií – vytvorenie kariérnych stupňov</w:t>
            </w:r>
          </w:p>
        </w:tc>
        <w:tc>
          <w:tcPr>
            <w:tcW w:w="1089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3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  <w:tc>
          <w:tcPr>
            <w:tcW w:w="992" w:type="dxa"/>
            <w:vAlign w:val="center"/>
          </w:tcPr>
          <w:p w:rsidR="00027958" w:rsidRPr="00105B60" w:rsidRDefault="00027958" w:rsidP="00412E25">
            <w:pPr>
              <w:pStyle w:val="Zkladntext"/>
              <w:jc w:val="center"/>
              <w:rPr>
                <w:sz w:val="16"/>
                <w:szCs w:val="16"/>
              </w:rPr>
            </w:pPr>
            <w:r w:rsidRPr="00105B60">
              <w:rPr>
                <w:sz w:val="16"/>
                <w:szCs w:val="16"/>
              </w:rPr>
              <w:t>Vysoká</w:t>
            </w:r>
          </w:p>
        </w:tc>
      </w:tr>
    </w:tbl>
    <w:p w:rsidR="00F2777A" w:rsidRDefault="00F2777A"/>
    <w:sectPr w:rsidR="00F2777A" w:rsidSect="00027958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D0BEC"/>
    <w:multiLevelType w:val="singleLevel"/>
    <w:tmpl w:val="72D6F376"/>
    <w:lvl w:ilvl="0">
      <w:start w:val="1"/>
      <w:numFmt w:val="bullet"/>
      <w:pStyle w:val="Zoznamsodrkami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</w:abstractNum>
  <w:abstractNum w:abstractNumId="1">
    <w:nsid w:val="59277153"/>
    <w:multiLevelType w:val="hybridMultilevel"/>
    <w:tmpl w:val="AF6C307A"/>
    <w:lvl w:ilvl="0" w:tplc="62B893B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58"/>
    <w:rsid w:val="00027958"/>
    <w:rsid w:val="009B2370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7958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027958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027958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Popis">
    <w:name w:val="caption"/>
    <w:basedOn w:val="Normlny"/>
    <w:next w:val="Normlny"/>
    <w:unhideWhenUsed/>
    <w:qFormat/>
    <w:rsid w:val="00027958"/>
    <w:pPr>
      <w:spacing w:after="200"/>
    </w:pPr>
    <w:rPr>
      <w:b/>
      <w:bCs/>
      <w:color w:val="4F81BD"/>
      <w:sz w:val="18"/>
      <w:szCs w:val="18"/>
    </w:rPr>
  </w:style>
  <w:style w:type="paragraph" w:styleId="Zoznamsodrkami">
    <w:name w:val="List Bullet"/>
    <w:basedOn w:val="Normlny"/>
    <w:qFormat/>
    <w:rsid w:val="00027958"/>
    <w:pPr>
      <w:numPr>
        <w:numId w:val="1"/>
      </w:numPr>
      <w:spacing w:after="240"/>
    </w:pPr>
    <w:rPr>
      <w:rFonts w:eastAsia="Times New Roman"/>
      <w:szCs w:val="20"/>
      <w:lang w:val="en-GB"/>
    </w:rPr>
  </w:style>
  <w:style w:type="paragraph" w:styleId="Zkladntext">
    <w:name w:val="Body Text"/>
    <w:basedOn w:val="Normlny"/>
    <w:link w:val="ZkladntextChar"/>
    <w:uiPriority w:val="99"/>
    <w:unhideWhenUsed/>
    <w:qFormat/>
    <w:rsid w:val="00027958"/>
  </w:style>
  <w:style w:type="character" w:customStyle="1" w:styleId="ZkladntextChar">
    <w:name w:val="Základný text Char"/>
    <w:basedOn w:val="Predvolenpsmoodseku"/>
    <w:link w:val="Zkladntext"/>
    <w:uiPriority w:val="99"/>
    <w:rsid w:val="00027958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7958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027958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027958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Popis">
    <w:name w:val="caption"/>
    <w:basedOn w:val="Normlny"/>
    <w:next w:val="Normlny"/>
    <w:unhideWhenUsed/>
    <w:qFormat/>
    <w:rsid w:val="00027958"/>
    <w:pPr>
      <w:spacing w:after="200"/>
    </w:pPr>
    <w:rPr>
      <w:b/>
      <w:bCs/>
      <w:color w:val="4F81BD"/>
      <w:sz w:val="18"/>
      <w:szCs w:val="18"/>
    </w:rPr>
  </w:style>
  <w:style w:type="paragraph" w:styleId="Zoznamsodrkami">
    <w:name w:val="List Bullet"/>
    <w:basedOn w:val="Normlny"/>
    <w:qFormat/>
    <w:rsid w:val="00027958"/>
    <w:pPr>
      <w:numPr>
        <w:numId w:val="1"/>
      </w:numPr>
      <w:spacing w:after="240"/>
    </w:pPr>
    <w:rPr>
      <w:rFonts w:eastAsia="Times New Roman"/>
      <w:szCs w:val="20"/>
      <w:lang w:val="en-GB"/>
    </w:rPr>
  </w:style>
  <w:style w:type="paragraph" w:styleId="Zkladntext">
    <w:name w:val="Body Text"/>
    <w:basedOn w:val="Normlny"/>
    <w:link w:val="ZkladntextChar"/>
    <w:uiPriority w:val="99"/>
    <w:unhideWhenUsed/>
    <w:qFormat/>
    <w:rsid w:val="00027958"/>
  </w:style>
  <w:style w:type="character" w:customStyle="1" w:styleId="ZkladntextChar">
    <w:name w:val="Základný text Char"/>
    <w:basedOn w:val="Predvolenpsmoodseku"/>
    <w:link w:val="Zkladntext"/>
    <w:uiPriority w:val="99"/>
    <w:rsid w:val="0002795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1644</Words>
  <Characters>10593</Characters>
  <Application>Microsoft Office Word</Application>
  <DocSecurity>0</DocSecurity>
  <Lines>294</Lines>
  <Paragraphs>112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2014-11-18T19:59:00Z</dcterms:created>
  <dcterms:modified xsi:type="dcterms:W3CDTF">2014-11-18T20:01:00Z</dcterms:modified>
</cp:coreProperties>
</file>