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38EFAB10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5D8263BF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3B3E97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00B06-7810-43A2-BB23-89462097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2021-09-02T11:41:00Z</dcterms:modified>
</cp:coreProperties>
</file>