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DC3EC9">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723B620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ins w:id="0" w:author="Autor">
        <w:r w:rsidR="00D13713">
          <w:rPr>
            <w:rFonts w:ascii="Times New Roman" w:hAnsi="Times New Roman"/>
          </w:rPr>
          <w:t xml:space="preserve"> </w:t>
        </w:r>
      </w:ins>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ins w:id="1" w:author="Autor">
        <w:r w:rsidR="00D13713">
          <w:rPr>
            <w:rFonts w:ascii="Times New Roman" w:hAnsi="Times New Roman"/>
          </w:rPr>
          <w:t xml:space="preserve"> </w:t>
        </w:r>
      </w:ins>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61F8948B"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18D1F7C" w14:textId="42EE7C8D" w:rsidR="00EC56E7" w:rsidRPr="00A1156D" w:rsidRDefault="00EC56E7" w:rsidP="000B7D53">
      <w:pPr>
        <w:spacing w:before="120" w:after="0" w:line="264" w:lineRule="auto"/>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upravujúca kontrolu VO a 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lastRenderedPageBreak/>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4833574"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del w:id="2" w:author="Autor">
        <w:r w:rsidRPr="00A1156D" w:rsidDel="00D2509B">
          <w:rPr>
            <w:rFonts w:ascii="Times New Roman" w:hAnsi="Times New Roman"/>
            <w:bCs/>
          </w:rPr>
          <w:delText xml:space="preserve"> a súčasne zodpovedá za ich </w:delText>
        </w:r>
        <w:r w:rsidR="007A714C" w:rsidRPr="00A1156D" w:rsidDel="00D2509B">
          <w:rPr>
            <w:rFonts w:ascii="Times New Roman" w:hAnsi="Times New Roman"/>
            <w:bCs/>
          </w:rPr>
          <w:delText xml:space="preserve">plnenie, resp. </w:delText>
        </w:r>
        <w:r w:rsidRPr="00A1156D" w:rsidDel="00D2509B">
          <w:rPr>
            <w:rFonts w:ascii="Times New Roman" w:hAnsi="Times New Roman"/>
            <w:bCs/>
          </w:rPr>
          <w:delText xml:space="preserve">udržanie v rámci </w:delText>
        </w:r>
        <w:r w:rsidR="007A714C" w:rsidRPr="00A1156D" w:rsidDel="00D2509B">
          <w:rPr>
            <w:rFonts w:ascii="Times New Roman" w:hAnsi="Times New Roman"/>
            <w:bCs/>
          </w:rPr>
          <w:delText xml:space="preserve">Obdobia </w:delText>
        </w:r>
        <w:r w:rsidRPr="00A1156D" w:rsidDel="00D2509B">
          <w:rPr>
            <w:rFonts w:ascii="Times New Roman" w:hAnsi="Times New Roman"/>
            <w:bCs/>
          </w:rPr>
          <w:delText>Udržateľnosti Projektu.</w:delText>
        </w:r>
      </w:del>
      <w:r w:rsidRPr="00A1156D">
        <w:rPr>
          <w:rFonts w:ascii="Times New Roman" w:hAnsi="Times New Roman"/>
          <w:bCs/>
        </w:rPr>
        <w:t xml:space="preserve"> 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Nariadenie Európskeho parlamentu a Rady (EÚ, Euratom)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lastRenderedPageBreak/>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3"/>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3"/>
      <w:r w:rsidR="004D357F">
        <w:rPr>
          <w:rStyle w:val="Odkaznakomentr"/>
          <w:rFonts w:ascii="Times New Roman" w:eastAsia="Times New Roman" w:hAnsi="Times New Roman"/>
        </w:rPr>
        <w:commentReference w:id="3"/>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lastRenderedPageBreak/>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0071745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ins w:id="4" w:author="Autor">
        <w:r w:rsidR="00DC3EC9">
          <w:t>,</w:t>
        </w:r>
      </w:ins>
      <w:r w:rsidR="002F22D1" w:rsidRPr="00DC3662">
        <w:t xml:space="preserve"> </w:t>
      </w:r>
      <w:del w:id="5" w:author="Autor">
        <w:r w:rsidR="002F22D1" w:rsidRPr="004729BC" w:rsidDel="00DC3EC9">
          <w:rPr>
            <w:rPrChange w:id="6" w:author="Autor">
              <w:rPr>
                <w:highlight w:val="yellow"/>
              </w:rPr>
            </w:rPrChange>
          </w:rPr>
          <w:delText xml:space="preserve">alebo </w:delText>
        </w:r>
        <w:r w:rsidR="00307349" w:rsidRPr="004729BC" w:rsidDel="00DC3EC9">
          <w:rPr>
            <w:rPrChange w:id="7" w:author="Autor">
              <w:rPr>
                <w:highlight w:val="yellow"/>
              </w:rPr>
            </w:rPrChange>
          </w:rPr>
          <w:delText xml:space="preserve">do uplynutia </w:delText>
        </w:r>
        <w:r w:rsidR="002F22D1" w:rsidRPr="004729BC" w:rsidDel="00DC3EC9">
          <w:rPr>
            <w:rPrChange w:id="8" w:author="Autor">
              <w:rPr>
                <w:highlight w:val="yellow"/>
              </w:rPr>
            </w:rPrChange>
          </w:rPr>
          <w:delText>obdob</w:delText>
        </w:r>
        <w:r w:rsidR="00307349" w:rsidRPr="004729BC" w:rsidDel="00DC3EC9">
          <w:rPr>
            <w:rPrChange w:id="9" w:author="Autor">
              <w:rPr>
                <w:highlight w:val="yellow"/>
              </w:rPr>
            </w:rPrChange>
          </w:rPr>
          <w:delText>ia</w:delText>
        </w:r>
        <w:r w:rsidR="002F22D1" w:rsidRPr="004729BC" w:rsidDel="00DC3EC9">
          <w:rPr>
            <w:rPrChange w:id="10" w:author="Autor">
              <w:rPr>
                <w:highlight w:val="yellow"/>
              </w:rPr>
            </w:rPrChange>
          </w:rPr>
          <w:delText xml:space="preserve"> </w:delText>
        </w:r>
        <w:r w:rsidR="00307349" w:rsidRPr="004729BC" w:rsidDel="00DC3EC9">
          <w:rPr>
            <w:rPrChange w:id="11" w:author="Autor">
              <w:rPr>
                <w:highlight w:val="yellow"/>
              </w:rPr>
            </w:rPrChange>
          </w:rPr>
          <w:delText xml:space="preserve">stanoveného </w:delText>
        </w:r>
        <w:r w:rsidR="002F22D1" w:rsidRPr="004729BC" w:rsidDel="00DC3EC9">
          <w:rPr>
            <w:rPrChange w:id="12" w:author="Autor">
              <w:rPr>
                <w:highlight w:val="yellow"/>
              </w:rPr>
            </w:rPrChange>
          </w:rPr>
          <w:delText>v pravidlách o štátnej pomoci, ak sa v rámci Projektu poskytuje pomoc,</w:delText>
        </w:r>
        <w:r w:rsidR="002F22D1" w:rsidRPr="00A1156D" w:rsidDel="00DC3EC9">
          <w:delText xml:space="preserve"> </w:delText>
        </w:r>
      </w:del>
      <w:r w:rsidR="002F22D1" w:rsidRPr="00A1156D">
        <w:t xml:space="preserve">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 xml:space="preserve">V prípade, ak sa príspevok poskytuje z Európskeho sociálneho fondu, alebo ak súčasťou Projektu nie je investícia do výroby, ani investícia do infraštruktúry, Podstatná zmena Projektu nastane, ak </w:t>
      </w:r>
      <w:r w:rsidRPr="00A1156D">
        <w:rPr>
          <w:bCs/>
        </w:rPr>
        <w:lastRenderedPageBreak/>
        <w:t>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35BACAC2"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w:t>
      </w:r>
      <w:ins w:id="13" w:author="Autor">
        <w:r w:rsidR="00D13713">
          <w:rPr>
            <w:rFonts w:ascii="Times New Roman" w:hAnsi="Times New Roman"/>
          </w:rPr>
          <w:t xml:space="preserve"> </w:t>
        </w:r>
      </w:ins>
      <w:r w:rsidRPr="00A1156D">
        <w:rPr>
          <w:rFonts w:ascii="Times New Roman" w:hAnsi="Times New Roman"/>
        </w:rPr>
        <w: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r w:rsidR="0001763D">
        <w:rPr>
          <w:rFonts w:ascii="Times New Roman" w:hAnsi="Times New Roman"/>
        </w:rPr>
        <w:t xml:space="preserve"> (zaznamanateľná)</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lastRenderedPageBreak/>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387355B0"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14"/>
      <w:r w:rsidRPr="00A1156D">
        <w:t>.............</w:t>
      </w:r>
      <w:commentRangeEnd w:id="14"/>
      <w:r w:rsidR="000645E7" w:rsidRPr="000B7D53">
        <w:rPr>
          <w:rStyle w:val="Odkaznakomentr"/>
          <w:rFonts w:eastAsia="Times New Roman"/>
          <w:sz w:val="22"/>
          <w:szCs w:val="22"/>
        </w:rPr>
        <w:commentReference w:id="14"/>
      </w:r>
      <w:r w:rsidRPr="00A1156D">
        <w:t>, pričom za žiadnych okolností nesmie prekročiť termín stanovený v článku 65 ods</w:t>
      </w:r>
      <w:r w:rsidR="001D3560" w:rsidRPr="00A1156D">
        <w:t>ek</w:t>
      </w:r>
      <w:r w:rsidRPr="00A1156D">
        <w:t xml:space="preserve"> 2 všeobecného nariadenia, t.</w:t>
      </w:r>
      <w:ins w:id="15" w:author="Autor">
        <w:r w:rsidR="00D13713">
          <w:t xml:space="preserve"> </w:t>
        </w:r>
      </w:ins>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16"/>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16"/>
      <w:r w:rsidR="004D357F">
        <w:rPr>
          <w:rStyle w:val="Odkaznakomentr"/>
          <w:rFonts w:eastAsia="Times New Roman"/>
        </w:rPr>
        <w:commentReference w:id="16"/>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lastRenderedPageBreak/>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02AE7684"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xml:space="preserve">( ďalej aj „ŽoP“)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w:t>
      </w:r>
      <w:r w:rsidR="0001763D">
        <w:t>ŽoP</w:t>
      </w:r>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lastRenderedPageBreak/>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17"/>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17"/>
      <w:r w:rsidR="00953378">
        <w:rPr>
          <w:rStyle w:val="Odkaznakomentr"/>
          <w:rFonts w:ascii="Times New Roman" w:eastAsia="Times New Roman" w:hAnsi="Times New Roman"/>
        </w:rPr>
        <w:commentReference w:id="17"/>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je dokument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w:t>
      </w:r>
      <w:r w:rsidRPr="00A1156D">
        <w:lastRenderedPageBreak/>
        <w:t xml:space="preserve">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67EEADE0" w:rsidR="0001763D" w:rsidRPr="002C43F2" w:rsidRDefault="002F22D1" w:rsidP="0001763D">
      <w:pPr>
        <w:spacing w:before="120" w:line="264" w:lineRule="auto"/>
        <w:ind w:left="540"/>
        <w:jc w:val="both"/>
        <w:rPr>
          <w:rFonts w:ascii="Times New Roman" w:eastAsia="SimSun" w:hAnsi="Times New Roman"/>
          <w:rPrChange w:id="18" w:author="Autor">
            <w:rPr>
              <w:rFonts w:ascii="Times New Roman" w:hAnsi="Times New Roman"/>
            </w:rPr>
          </w:rPrChange>
        </w:rPr>
      </w:pPr>
      <w:r w:rsidRPr="002C43F2">
        <w:rPr>
          <w:rFonts w:ascii="Times New Roman" w:eastAsia="SimSun" w:hAnsi="Times New Roman"/>
          <w:b/>
          <w:rPrChange w:id="19" w:author="Autor">
            <w:rPr>
              <w:b/>
            </w:rPr>
          </w:rPrChange>
        </w:rPr>
        <w:t>Verejné obstarávanie</w:t>
      </w:r>
      <w:r w:rsidRPr="002C43F2">
        <w:rPr>
          <w:rFonts w:ascii="Times New Roman" w:eastAsia="SimSun" w:hAnsi="Times New Roman"/>
          <w:rPrChange w:id="20" w:author="Autor">
            <w:rPr>
              <w:b/>
            </w:rPr>
          </w:rPrChange>
        </w:rPr>
        <w:t xml:space="preserve"> </w:t>
      </w:r>
      <w:r w:rsidRPr="002C43F2">
        <w:rPr>
          <w:rFonts w:ascii="Times New Roman" w:eastAsia="SimSun" w:hAnsi="Times New Roman"/>
          <w:rPrChange w:id="21" w:author="Autor">
            <w:rPr/>
          </w:rPrChange>
        </w:rPr>
        <w:t>alebo</w:t>
      </w:r>
      <w:r w:rsidRPr="002C43F2">
        <w:rPr>
          <w:rFonts w:ascii="Times New Roman" w:eastAsia="SimSun" w:hAnsi="Times New Roman"/>
          <w:rPrChange w:id="22" w:author="Autor">
            <w:rPr>
              <w:b/>
            </w:rPr>
          </w:rPrChange>
        </w:rPr>
        <w:t xml:space="preserve"> </w:t>
      </w:r>
      <w:r w:rsidRPr="002C43F2">
        <w:rPr>
          <w:rFonts w:ascii="Times New Roman" w:eastAsia="SimSun" w:hAnsi="Times New Roman"/>
          <w:b/>
          <w:rPrChange w:id="23" w:author="Autor">
            <w:rPr>
              <w:b/>
            </w:rPr>
          </w:rPrChange>
        </w:rPr>
        <w:t>VO</w:t>
      </w:r>
      <w:r w:rsidRPr="002C43F2">
        <w:rPr>
          <w:rFonts w:ascii="Times New Roman" w:eastAsia="SimSun" w:hAnsi="Times New Roman"/>
          <w:rPrChange w:id="24" w:author="Autor">
            <w:rPr>
              <w:b/>
            </w:rPr>
          </w:rPrChange>
        </w:rPr>
        <w:t xml:space="preserve"> </w:t>
      </w:r>
      <w:r w:rsidR="00CE30CF" w:rsidRPr="002C43F2">
        <w:rPr>
          <w:rFonts w:ascii="Times New Roman" w:eastAsia="SimSun" w:hAnsi="Times New Roman"/>
          <w:rPrChange w:id="25" w:author="Autor">
            <w:rPr>
              <w:b/>
            </w:rPr>
          </w:rPrChange>
        </w:rPr>
        <w:t xml:space="preserve">- </w:t>
      </w:r>
      <w:r w:rsidR="0001763D" w:rsidRPr="002C43F2">
        <w:rPr>
          <w:rFonts w:ascii="Times New Roman" w:eastAsia="SimSun" w:hAnsi="Times New Roman"/>
          <w:rPrChange w:id="26" w:author="Autor">
            <w:rPr>
              <w:rFonts w:ascii="Times New Roman" w:hAnsi="Times New Roman"/>
            </w:rPr>
          </w:rPrChange>
        </w:rPr>
        <w:t>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w:t>
      </w:r>
      <w:ins w:id="27" w:author="Autor">
        <w:r w:rsidR="00D13713">
          <w:rPr>
            <w:rFonts w:ascii="Times New Roman" w:eastAsia="SimSun" w:hAnsi="Times New Roman"/>
          </w:rPr>
          <w:t xml:space="preserve"> </w:t>
        </w:r>
      </w:ins>
      <w:r w:rsidR="0001763D" w:rsidRPr="002C43F2">
        <w:rPr>
          <w:rFonts w:ascii="Times New Roman" w:eastAsia="SimSun" w:hAnsi="Times New Roman"/>
          <w:rPrChange w:id="28" w:author="Autor">
            <w:rPr>
              <w:rFonts w:ascii="Times New Roman" w:hAnsi="Times New Roman"/>
            </w:rPr>
          </w:rPrChange>
        </w:rPr>
        <w:t>j.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p>
    <w:p w14:paraId="7FA8F872" w14:textId="47B33147" w:rsidR="002F22D1" w:rsidRPr="002C43F2" w:rsidRDefault="002F22D1" w:rsidP="00661792">
      <w:pPr>
        <w:pStyle w:val="Odsekzoznamu"/>
        <w:numPr>
          <w:ilvl w:val="0"/>
          <w:numId w:val="20"/>
        </w:numPr>
        <w:spacing w:before="120" w:line="264" w:lineRule="auto"/>
        <w:ind w:left="540"/>
        <w:jc w:val="both"/>
        <w:rPr>
          <w:rFonts w:eastAsia="SimSun"/>
          <w:sz w:val="22"/>
          <w:szCs w:val="22"/>
          <w:lang w:eastAsia="en-US"/>
          <w:rPrChange w:id="29" w:author="Autor">
            <w:rPr/>
          </w:rPrChange>
        </w:rPr>
      </w:pPr>
      <w:r w:rsidRPr="002C43F2">
        <w:rPr>
          <w:rFonts w:eastAsia="SimSun"/>
          <w:b/>
          <w:sz w:val="22"/>
          <w:szCs w:val="22"/>
          <w:lang w:eastAsia="en-US"/>
          <w:rPrChange w:id="30" w:author="Autor">
            <w:rPr>
              <w:b/>
            </w:rPr>
          </w:rPrChange>
        </w:rPr>
        <w:t>Verejnoprávny subjekt</w:t>
      </w:r>
      <w:r w:rsidRPr="002C43F2">
        <w:rPr>
          <w:rFonts w:eastAsia="SimSun"/>
          <w:sz w:val="22"/>
          <w:szCs w:val="22"/>
          <w:lang w:eastAsia="en-US"/>
          <w:rPrChange w:id="31" w:author="Autor">
            <w:rPr/>
          </w:rPrChange>
        </w:rPr>
        <w:t xml:space="preserve"> </w:t>
      </w:r>
      <w:r w:rsidR="00CE30CF" w:rsidRPr="002C43F2">
        <w:rPr>
          <w:rFonts w:eastAsia="SimSun"/>
          <w:sz w:val="22"/>
          <w:szCs w:val="22"/>
          <w:lang w:eastAsia="en-US"/>
          <w:rPrChange w:id="32" w:author="Autor">
            <w:rPr>
              <w:b/>
            </w:rPr>
          </w:rPrChange>
        </w:rPr>
        <w:t>-</w:t>
      </w:r>
      <w:r w:rsidR="00CE30CF" w:rsidRPr="002C43F2">
        <w:rPr>
          <w:rFonts w:eastAsia="SimSun"/>
          <w:sz w:val="22"/>
          <w:szCs w:val="22"/>
          <w:lang w:eastAsia="en-US"/>
          <w:rPrChange w:id="33" w:author="Autor">
            <w:rPr/>
          </w:rPrChange>
        </w:rPr>
        <w:t xml:space="preserve"> </w:t>
      </w:r>
      <w:r w:rsidRPr="002C43F2">
        <w:rPr>
          <w:rFonts w:eastAsia="SimSun"/>
          <w:sz w:val="22"/>
          <w:szCs w:val="22"/>
          <w:lang w:eastAsia="en-US"/>
          <w:rPrChange w:id="34" w:author="Autor">
            <w:rPr/>
          </w:rPrChange>
        </w:rPr>
        <w:t xml:space="preserve">každý subjekt, ktorý sa riadi verejným právom v zmysle </w:t>
      </w:r>
      <w:r w:rsidR="000678BB" w:rsidRPr="002C43F2">
        <w:rPr>
          <w:rFonts w:eastAsia="SimSun"/>
          <w:sz w:val="22"/>
          <w:szCs w:val="22"/>
          <w:lang w:eastAsia="en-US"/>
          <w:rPrChange w:id="35" w:author="Autor">
            <w:rPr>
              <w:bCs/>
            </w:rPr>
          </w:rPrChange>
        </w:rPr>
        <w:t>článku</w:t>
      </w:r>
      <w:r w:rsidRPr="002C43F2">
        <w:rPr>
          <w:rFonts w:eastAsia="SimSun"/>
          <w:sz w:val="22"/>
          <w:szCs w:val="22"/>
          <w:lang w:eastAsia="en-US"/>
          <w:rPrChange w:id="36" w:author="Autor">
            <w:rPr/>
          </w:rPrChange>
        </w:rPr>
        <w:t xml:space="preserve"> </w:t>
      </w:r>
      <w:r w:rsidR="00D05217" w:rsidRPr="002C43F2">
        <w:rPr>
          <w:rFonts w:eastAsia="SimSun"/>
          <w:sz w:val="22"/>
          <w:szCs w:val="22"/>
          <w:lang w:eastAsia="en-US"/>
          <w:rPrChange w:id="37" w:author="Autor">
            <w:rPr/>
          </w:rPrChange>
        </w:rPr>
        <w:t>2</w:t>
      </w:r>
      <w:r w:rsidRPr="002C43F2">
        <w:rPr>
          <w:rFonts w:eastAsia="SimSun"/>
          <w:sz w:val="22"/>
          <w:szCs w:val="22"/>
          <w:lang w:eastAsia="en-US"/>
          <w:rPrChange w:id="38" w:author="Autor">
            <w:rPr/>
          </w:rPrChange>
        </w:rPr>
        <w:t xml:space="preserve"> ods</w:t>
      </w:r>
      <w:r w:rsidR="001D3560" w:rsidRPr="002C43F2">
        <w:rPr>
          <w:rFonts w:eastAsia="SimSun"/>
          <w:sz w:val="22"/>
          <w:szCs w:val="22"/>
          <w:lang w:eastAsia="en-US"/>
          <w:rPrChange w:id="39" w:author="Autor">
            <w:rPr/>
          </w:rPrChange>
        </w:rPr>
        <w:t>ek</w:t>
      </w:r>
      <w:r w:rsidR="00D05217" w:rsidRPr="002C43F2">
        <w:rPr>
          <w:rFonts w:eastAsia="SimSun"/>
          <w:sz w:val="22"/>
          <w:szCs w:val="22"/>
          <w:lang w:eastAsia="en-US"/>
          <w:rPrChange w:id="40" w:author="Autor">
            <w:rPr/>
          </w:rPrChange>
        </w:rPr>
        <w:t xml:space="preserve"> 1 bod 4 smernice Európskeho parlamentu a Rady (EÚ)  2014/24/EÚ z 26. </w:t>
      </w:r>
      <w:r w:rsidR="00910086" w:rsidRPr="002C43F2">
        <w:rPr>
          <w:rFonts w:eastAsia="SimSun"/>
          <w:sz w:val="22"/>
          <w:szCs w:val="22"/>
          <w:lang w:eastAsia="en-US"/>
          <w:rPrChange w:id="41" w:author="Autor">
            <w:rPr/>
          </w:rPrChange>
        </w:rPr>
        <w:t xml:space="preserve">02. </w:t>
      </w:r>
      <w:r w:rsidR="00D05217" w:rsidRPr="002C43F2">
        <w:rPr>
          <w:rFonts w:eastAsia="SimSun"/>
          <w:sz w:val="22"/>
          <w:szCs w:val="22"/>
          <w:lang w:eastAsia="en-US"/>
          <w:rPrChange w:id="42" w:author="Autor">
            <w:rPr/>
          </w:rPrChange>
        </w:rPr>
        <w:t xml:space="preserve">2014 o verejnom obstarávaní a o zrušení smernice č. 2004/18/ES v platnom znení </w:t>
      </w:r>
      <w:r w:rsidRPr="002C43F2">
        <w:rPr>
          <w:rFonts w:eastAsia="SimSun"/>
          <w:sz w:val="22"/>
          <w:szCs w:val="22"/>
          <w:lang w:eastAsia="en-US"/>
          <w:rPrChange w:id="43" w:author="Autor">
            <w:rPr/>
          </w:rPrChange>
        </w:rPr>
        <w:t>a každé európske zoskupenie územnej spolupráce zriadené v súlade s nariaden</w:t>
      </w:r>
      <w:r w:rsidR="00364E0A" w:rsidRPr="002C43F2">
        <w:rPr>
          <w:rFonts w:eastAsia="SimSun"/>
          <w:sz w:val="22"/>
          <w:szCs w:val="22"/>
          <w:lang w:eastAsia="en-US"/>
          <w:rPrChange w:id="44" w:author="Autor">
            <w:rPr/>
          </w:rPrChange>
        </w:rPr>
        <w:t xml:space="preserve">ím Európskeho parlamentu a Rady </w:t>
      </w:r>
      <w:r w:rsidRPr="002C43F2">
        <w:rPr>
          <w:rFonts w:eastAsia="SimSun"/>
          <w:sz w:val="22"/>
          <w:szCs w:val="22"/>
          <w:lang w:eastAsia="en-US"/>
          <w:rPrChange w:id="45" w:author="Autor">
            <w:rPr/>
          </w:rPrChange>
        </w:rPr>
        <w:t xml:space="preserve">(EÚ) </w:t>
      </w:r>
      <w:r w:rsidR="00EA3750" w:rsidRPr="002C43F2">
        <w:rPr>
          <w:rFonts w:eastAsia="SimSun"/>
          <w:sz w:val="22"/>
          <w:szCs w:val="22"/>
          <w:lang w:eastAsia="en-US"/>
          <w:rPrChange w:id="46" w:author="Autor">
            <w:rPr/>
          </w:rPrChange>
        </w:rPr>
        <w:t xml:space="preserve"> </w:t>
      </w:r>
      <w:r w:rsidRPr="002C43F2">
        <w:rPr>
          <w:rFonts w:eastAsia="SimSun"/>
          <w:sz w:val="22"/>
          <w:szCs w:val="22"/>
          <w:lang w:eastAsia="en-US"/>
          <w:rPrChange w:id="47" w:author="Autor">
            <w:rPr/>
          </w:rPrChange>
        </w:rPr>
        <w:t xml:space="preserve">č. 1302/2013 </w:t>
      </w:r>
      <w:r w:rsidR="00156C07" w:rsidRPr="002C43F2">
        <w:rPr>
          <w:rFonts w:eastAsia="SimSun"/>
          <w:sz w:val="22"/>
          <w:szCs w:val="22"/>
          <w:lang w:eastAsia="en-US"/>
          <w:rPrChange w:id="48" w:author="Autor">
            <w:rPr/>
          </w:rPrChange>
        </w:rPr>
        <w:t xml:space="preserve">zo 17. </w:t>
      </w:r>
      <w:r w:rsidR="00910086" w:rsidRPr="002C43F2">
        <w:rPr>
          <w:rFonts w:eastAsia="SimSun"/>
          <w:sz w:val="22"/>
          <w:szCs w:val="22"/>
          <w:lang w:eastAsia="en-US"/>
          <w:rPrChange w:id="49" w:author="Autor">
            <w:rPr/>
          </w:rPrChange>
        </w:rPr>
        <w:t xml:space="preserve">12. </w:t>
      </w:r>
      <w:r w:rsidR="00156C07" w:rsidRPr="002C43F2">
        <w:rPr>
          <w:rFonts w:eastAsia="SimSun"/>
          <w:sz w:val="22"/>
          <w:szCs w:val="22"/>
          <w:lang w:eastAsia="en-US"/>
          <w:rPrChange w:id="50" w:author="Autor">
            <w:rPr/>
          </w:rPrChange>
        </w:rPr>
        <w:t xml:space="preserve">2013 v platnom znení </w:t>
      </w:r>
      <w:r w:rsidRPr="002C43F2">
        <w:rPr>
          <w:rFonts w:eastAsia="SimSun"/>
          <w:sz w:val="22"/>
          <w:szCs w:val="22"/>
          <w:lang w:eastAsia="en-US"/>
          <w:rPrChange w:id="51" w:author="Autor">
            <w:rPr/>
          </w:rPrChange>
        </w:rPr>
        <w:t>ale</w:t>
      </w:r>
      <w:r w:rsidR="00364E0A" w:rsidRPr="002C43F2">
        <w:rPr>
          <w:rFonts w:eastAsia="SimSun"/>
          <w:sz w:val="22"/>
          <w:szCs w:val="22"/>
          <w:lang w:eastAsia="en-US"/>
          <w:rPrChange w:id="52" w:author="Autor">
            <w:rPr/>
          </w:rPrChange>
        </w:rPr>
        <w:t>bo vzniknuté podľa zákona č. 90/2008</w:t>
      </w:r>
      <w:r w:rsidR="00364E0A" w:rsidRPr="002C43F2">
        <w:rPr>
          <w:rFonts w:eastAsia="SimSun"/>
          <w:sz w:val="22"/>
          <w:szCs w:val="22"/>
          <w:lang w:eastAsia="en-US"/>
          <w:rPrChange w:id="53" w:author="Autor">
            <w:rPr/>
          </w:rPrChange>
        </w:rPr>
        <w:br/>
      </w:r>
      <w:r w:rsidRPr="002C43F2">
        <w:rPr>
          <w:rFonts w:eastAsia="SimSun"/>
          <w:sz w:val="22"/>
          <w:szCs w:val="22"/>
          <w:lang w:eastAsia="en-US"/>
          <w:rPrChange w:id="54" w:author="Autor">
            <w:rPr/>
          </w:rPrChange>
        </w:rPr>
        <w:t>Z. z.</w:t>
      </w:r>
      <w:r w:rsidR="00924E42" w:rsidRPr="002C43F2">
        <w:rPr>
          <w:rFonts w:eastAsia="SimSun"/>
          <w:sz w:val="22"/>
          <w:szCs w:val="22"/>
          <w:lang w:eastAsia="en-US"/>
          <w:rPrChange w:id="55" w:author="Autor">
            <w:rPr/>
          </w:rPrChange>
        </w:rPr>
        <w:t xml:space="preserve"> </w:t>
      </w:r>
      <w:r w:rsidR="00156C07" w:rsidRPr="002C43F2">
        <w:rPr>
          <w:rFonts w:eastAsia="SimSun"/>
          <w:sz w:val="22"/>
          <w:szCs w:val="22"/>
          <w:lang w:eastAsia="en-US"/>
          <w:rPrChange w:id="56" w:author="Autor">
            <w:rPr/>
          </w:rPrChange>
        </w:rPr>
        <w:t xml:space="preserve">o európskom zoskupení územnej spolupráce a o doplnení zákona č. 540/2001 Z. z. o štátnej štatistike </w:t>
      </w:r>
      <w:r w:rsidR="00924E42" w:rsidRPr="002C43F2">
        <w:rPr>
          <w:rFonts w:eastAsia="SimSun"/>
          <w:sz w:val="22"/>
          <w:szCs w:val="22"/>
          <w:lang w:eastAsia="en-US"/>
          <w:rPrChange w:id="57" w:author="Autor">
            <w:rPr/>
          </w:rPrChange>
        </w:rPr>
        <w:t>v znení neskorších prepisov</w:t>
      </w:r>
      <w:r w:rsidRPr="002C43F2">
        <w:rPr>
          <w:rFonts w:eastAsia="SimSun"/>
          <w:sz w:val="22"/>
          <w:szCs w:val="22"/>
          <w:lang w:eastAsia="en-US"/>
          <w:rPrChange w:id="58" w:author="Autor">
            <w:rPr/>
          </w:rPrChange>
        </w:rPr>
        <w:t>, bez ohľadu na to, či sa európske zoskupenie územnej spolupráce považuje podľa právnych predpisov Slovenskej republiky za verejnoprávny subjekt alebo subjekt súkromného práva</w:t>
      </w:r>
      <w:r w:rsidR="00CF6859" w:rsidRPr="002C43F2">
        <w:rPr>
          <w:rFonts w:eastAsia="SimSun"/>
          <w:sz w:val="22"/>
          <w:szCs w:val="22"/>
          <w:lang w:eastAsia="en-US"/>
          <w:rPrChange w:id="59" w:author="Autor">
            <w:rPr/>
          </w:rPrChange>
        </w:rPr>
        <w:t>;</w:t>
      </w:r>
      <w:r w:rsidRPr="002C43F2">
        <w:rPr>
          <w:rFonts w:eastAsia="SimSun"/>
          <w:sz w:val="22"/>
          <w:szCs w:val="22"/>
          <w:lang w:eastAsia="en-US"/>
          <w:rPrChange w:id="60" w:author="Autor">
            <w:rPr/>
          </w:rPrChange>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commentRangeStart w:id="61"/>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61"/>
      <w:r w:rsidR="004D357F">
        <w:rPr>
          <w:rStyle w:val="Odkaznakomentr"/>
          <w:rFonts w:eastAsia="Times New Roman"/>
        </w:rPr>
        <w:commentReference w:id="61"/>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lastRenderedPageBreak/>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62"/>
      <w:r w:rsidRPr="00A1156D">
        <w:rPr>
          <w:bCs/>
        </w:rPr>
        <w:t xml:space="preserve">predloženie dokumentácie k VO na výkon </w:t>
      </w:r>
      <w:r w:rsidR="00161C93" w:rsidRPr="00A1156D">
        <w:rPr>
          <w:bCs/>
        </w:rPr>
        <w:t xml:space="preserve">prvej </w:t>
      </w:r>
      <w:r w:rsidRPr="00A1156D">
        <w:rPr>
          <w:bCs/>
        </w:rPr>
        <w:t xml:space="preserve">ex-ante kontroly, </w:t>
      </w:r>
      <w:r w:rsidR="0095057C" w:rsidRPr="00A1156D">
        <w:rPr>
          <w:bCs/>
        </w:rPr>
        <w:t>alebo</w:t>
      </w:r>
      <w:commentRangeEnd w:id="62"/>
      <w:r w:rsidR="00335ACA" w:rsidRPr="000B7D53">
        <w:rPr>
          <w:rStyle w:val="Odkaznakomentr"/>
          <w:rFonts w:eastAsia="Times New Roman"/>
          <w:sz w:val="22"/>
          <w:szCs w:val="22"/>
        </w:rPr>
        <w:commentReference w:id="62"/>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27C512C4" w14:textId="77777777" w:rsidR="00810600" w:rsidRPr="004C6CB4" w:rsidRDefault="00810600" w:rsidP="00810600">
      <w:pPr>
        <w:spacing w:before="120" w:line="264" w:lineRule="auto"/>
        <w:ind w:left="540"/>
        <w:jc w:val="both"/>
        <w:rPr>
          <w:rFonts w:ascii="Times New Roman" w:hAnsi="Times New Roman"/>
          <w:b/>
        </w:rPr>
      </w:pP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68857FD3"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ins w:id="63" w:author="Autor">
        <w:r w:rsidR="00D13713">
          <w:t xml:space="preserve"> </w:t>
        </w:r>
      </w:ins>
      <w:r w:rsidRPr="004C6CB4">
        <w:t>04.</w:t>
      </w:r>
      <w:ins w:id="64" w:author="Autor">
        <w:r w:rsidR="00D13713">
          <w:t xml:space="preserve"> </w:t>
        </w:r>
      </w:ins>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w:t>
      </w:r>
      <w:r w:rsidRPr="00A1156D">
        <w:rPr>
          <w:rFonts w:ascii="Times New Roman" w:hAnsi="Times New Roman"/>
        </w:rPr>
        <w:lastRenderedPageBreak/>
        <w:t xml:space="preserve">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63FBC13"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w:t>
      </w:r>
      <w:r w:rsidR="00DF7A73">
        <w:rPr>
          <w:rFonts w:ascii="Times New Roman" w:hAnsi="Times New Roman"/>
        </w:rPr>
        <w:t xml:space="preserve">s nízkou hodnotou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0BF1367D" w:rsidR="003C0F18" w:rsidRPr="00A1156D" w:rsidRDefault="003C0F18" w:rsidP="00175E5B">
      <w:pPr>
        <w:pStyle w:val="Odsekzoznamu"/>
        <w:numPr>
          <w:ilvl w:val="1"/>
          <w:numId w:val="25"/>
        </w:numPr>
        <w:spacing w:before="120" w:line="264" w:lineRule="auto"/>
        <w:jc w:val="both"/>
        <w:rPr>
          <w:sz w:val="22"/>
          <w:szCs w:val="22"/>
        </w:rPr>
      </w:pPr>
      <w:r w:rsidRPr="00A1156D">
        <w:rPr>
          <w:sz w:val="22"/>
          <w:szCs w:val="22"/>
        </w:rPr>
        <w:lastRenderedPageBreak/>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Pr="00A1156D">
        <w:rPr>
          <w:sz w:val="22"/>
          <w:szCs w:val="22"/>
        </w:rPr>
        <w:t xml:space="preserve">cez ITMS2014+. </w:t>
      </w:r>
      <w:r w:rsidR="00175E5B">
        <w:rPr>
          <w:sz w:val="22"/>
          <w:szCs w:val="22"/>
        </w:rPr>
        <w:t>R</w:t>
      </w:r>
      <w:r w:rsidRPr="00A1156D">
        <w:rPr>
          <w:sz w:val="22"/>
          <w:szCs w:val="22"/>
        </w:rPr>
        <w:t xml:space="preserve">ozsah dokumentácie, ktorú </w:t>
      </w:r>
      <w:r w:rsidR="0014042F" w:rsidRPr="00A1156D">
        <w:rPr>
          <w:sz w:val="22"/>
          <w:szCs w:val="22"/>
        </w:rPr>
        <w:t xml:space="preserve">Prijímateľ </w:t>
      </w:r>
      <w:r w:rsidRPr="00A1156D">
        <w:rPr>
          <w:sz w:val="22"/>
          <w:szCs w:val="22"/>
        </w:rPr>
        <w:t xml:space="preserve">povinne predkladá cez ITMS 2014+ je definovaný </w:t>
      </w:r>
      <w:r w:rsidR="00175E5B" w:rsidRPr="00065FAD">
        <w:rPr>
          <w:sz w:val="22"/>
          <w:szCs w:val="22"/>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175E5B">
        <w:rPr>
          <w:rFonts w:eastAsia="Calibri"/>
          <w:sz w:val="22"/>
          <w:szCs w:val="22"/>
          <w:lang w:eastAsia="en-US"/>
        </w:rPr>
        <w:t>Poskytovateľovi</w:t>
      </w:r>
      <w:r w:rsidR="004D3E6C" w:rsidRPr="00A1156D">
        <w:rPr>
          <w:rFonts w:eastAsia="Calibri"/>
          <w:sz w:val="22"/>
          <w:szCs w:val="22"/>
          <w:lang w:eastAsia="en-US"/>
        </w:rPr>
        <w:t xml:space="preserve">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obvyklej praxe (best practice) 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161EFD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761C6E36" w14:textId="3BBD04AE" w:rsidR="00DF7A73" w:rsidRPr="00307126" w:rsidRDefault="00E37707" w:rsidP="00661792">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w:t>
      </w:r>
      <w:r w:rsidR="00175E5B" w:rsidRPr="00E242EC">
        <w:rPr>
          <w:sz w:val="22"/>
          <w:szCs w:val="22"/>
        </w:rPr>
        <w:lastRenderedPageBreak/>
        <w:t>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prvá ex ante kontrola nie je vykonávaná podľa zákona o finančnej kontrole,</w:t>
      </w:r>
    </w:p>
    <w:p w14:paraId="6F43F1B1" w14:textId="3FC4077E" w:rsidR="003C0F18" w:rsidRPr="00A1156D" w:rsidRDefault="003C0F18" w:rsidP="00607648">
      <w:pPr>
        <w:pStyle w:val="Odsekzoznamu"/>
        <w:spacing w:before="120" w:line="264" w:lineRule="auto"/>
        <w:ind w:left="1134"/>
        <w:jc w:val="both"/>
        <w:rPr>
          <w:sz w:val="22"/>
          <w:szCs w:val="22"/>
        </w:rPr>
      </w:pPr>
      <w:r w:rsidRPr="00A1156D">
        <w:rPr>
          <w:sz w:val="22"/>
          <w:szCs w:val="22"/>
        </w:rPr>
        <w:t>,</w:t>
      </w:r>
    </w:p>
    <w:p w14:paraId="1C9C0831" w14:textId="7A8101C3"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predmetnom povinnej kon</w:t>
      </w:r>
      <w:r w:rsidR="00175E5B">
        <w:rPr>
          <w:sz w:val="22"/>
          <w:szCs w:val="22"/>
        </w:rPr>
        <w:t>troly ÚVO podľa § 169 ods. 2 zákona o VO)</w:t>
      </w:r>
      <w:r w:rsidR="003C0F18" w:rsidRPr="00A1156D">
        <w:rPr>
          <w:sz w:val="22"/>
          <w:szCs w:val="22"/>
        </w:rPr>
        <w:t>,</w:t>
      </w:r>
      <w:r w:rsidR="00335265" w:rsidRPr="00335265">
        <w:rPr>
          <w:sz w:val="22"/>
          <w:szCs w:val="22"/>
        </w:rPr>
        <w:t xml:space="preserve"> </w:t>
      </w:r>
      <w:r w:rsidR="00335265">
        <w:rPr>
          <w:sz w:val="22"/>
          <w:szCs w:val="22"/>
        </w:rPr>
        <w:t>druhá ex ante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23AF0F11"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kontroly </w:t>
      </w:r>
      <w:r w:rsidR="00175E5B">
        <w:t xml:space="preserve">Poskytovateľom </w:t>
      </w:r>
      <w:r w:rsidR="00175E5B" w:rsidRPr="00E242EC">
        <w:rPr>
          <w:sz w:val="22"/>
          <w:szCs w:val="22"/>
        </w:rPr>
        <w:t xml:space="preserve">v prípade, ak </w:t>
      </w:r>
      <w:r w:rsidR="00175E5B">
        <w:rPr>
          <w:sz w:val="22"/>
          <w:szCs w:val="22"/>
        </w:rPr>
        <w:t>P</w:t>
      </w:r>
      <w:r w:rsidR="00175E5B" w:rsidRPr="00E242EC">
        <w:rPr>
          <w:sz w:val="22"/>
          <w:szCs w:val="22"/>
        </w:rPr>
        <w:t xml:space="preserve">rijímateľ návrh dodatku dobrovoľne predloží </w:t>
      </w:r>
      <w:r w:rsidR="00175E5B">
        <w:t xml:space="preserve">Poskytovateľovi </w:t>
      </w:r>
      <w:r w:rsidR="00175E5B" w:rsidRPr="00E242EC">
        <w:rPr>
          <w:sz w:val="22"/>
          <w:szCs w:val="22"/>
        </w:rPr>
        <w:t xml:space="preserve">za účelom výkonu </w:t>
      </w:r>
      <w:r w:rsidR="00175E5B">
        <w:rPr>
          <w:sz w:val="22"/>
          <w:szCs w:val="22"/>
        </w:rPr>
        <w:t xml:space="preserve">finančnej </w:t>
      </w:r>
      <w:r w:rsidR="00175E5B" w:rsidRPr="00E242EC">
        <w:rPr>
          <w:sz w:val="22"/>
          <w:szCs w:val="22"/>
        </w:rPr>
        <w:t>kontroly)</w:t>
      </w:r>
      <w:r w:rsidR="00335265">
        <w:rPr>
          <w:sz w:val="22"/>
          <w:szCs w:val="22"/>
        </w:rPr>
        <w:t>, kontrola dodatkov je vykonávaná podľa zákona o finančnej kontrole.</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77777777"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 VO (zákon č. 25/2006 Z. z.) nevzťahuje vo finančnom limite nadlimitnej zákazky alebo,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50% a menej finančných prostriedkov na dodanie tovaru, uskutočnenie stavebných p</w:t>
      </w:r>
      <w:r>
        <w:rPr>
          <w:sz w:val="22"/>
          <w:szCs w:val="22"/>
        </w:rPr>
        <w:t>rác a poskytnutie služieb z NFP</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4C7C7A51"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ex-ante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r w:rsidR="00932614" w:rsidRPr="00A1156D">
        <w:rPr>
          <w:rFonts w:ascii="Times New Roman" w:hAnsi="Times New Roman"/>
        </w:rPr>
        <w:t>.</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w:t>
      </w:r>
      <w:r w:rsidR="00B343B0" w:rsidRPr="00A1156D">
        <w:rPr>
          <w:rFonts w:ascii="Times New Roman" w:hAnsi="Times New Roman"/>
        </w:rPr>
        <w:lastRenderedPageBreak/>
        <w:t xml:space="preserve">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iných nevyhnutných úkonov 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lastRenderedPageBreak/>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7F7BF94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 xml:space="preserve">ex-ante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r w:rsidR="00532E84" w:rsidRPr="00207744">
        <w:rPr>
          <w:rFonts w:ascii="Times New Roman" w:hAnsi="Times New Roman"/>
          <w:i/>
        </w:rPr>
        <w:t xml:space="preserve">ante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w:t>
      </w:r>
      <w:r w:rsidR="00D97481">
        <w:rPr>
          <w:rFonts w:ascii="Times New Roman" w:hAnsi="Times New Roman"/>
        </w:rPr>
        <w:t xml:space="preserve">môže </w:t>
      </w:r>
      <w:r w:rsidRPr="00A1156D">
        <w:rPr>
          <w:rFonts w:ascii="Times New Roman" w:hAnsi="Times New Roman"/>
        </w:rPr>
        <w:t>ovplyv</w:t>
      </w:r>
      <w:r w:rsidR="00D97481">
        <w:rPr>
          <w:rFonts w:ascii="Times New Roman" w:hAnsi="Times New Roman"/>
        </w:rPr>
        <w:t>niť</w:t>
      </w:r>
      <w:r w:rsidRPr="00A1156D">
        <w:rPr>
          <w:rFonts w:ascii="Times New Roman" w:hAnsi="Times New Roman"/>
        </w:rPr>
        <w:t xml:space="preserve"> možnosť určenia ex-ante finančnej opravy. Zároveň 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w:t>
      </w:r>
      <w:r w:rsidRPr="00A1156D">
        <w:rPr>
          <w:sz w:val="22"/>
          <w:szCs w:val="22"/>
        </w:rPr>
        <w:lastRenderedPageBreak/>
        <w:t xml:space="preserve">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65"/>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65"/>
      <w:r w:rsidR="004D357F">
        <w:rPr>
          <w:rStyle w:val="Odkaznakomentr"/>
          <w:rFonts w:ascii="Times New Roman" w:eastAsia="Times New Roman" w:hAnsi="Times New Roman"/>
        </w:rPr>
        <w:commentReference w:id="65"/>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6D655AA" w:rsidR="00B7129C" w:rsidRPr="00A1156D" w:rsidRDefault="00B7129C" w:rsidP="00124F5A">
      <w:pPr>
        <w:spacing w:before="120" w:after="0" w:line="264" w:lineRule="auto"/>
        <w:ind w:left="709"/>
        <w:jc w:val="both"/>
        <w:rPr>
          <w:rFonts w:ascii="Times New Roman" w:hAnsi="Times New Roman"/>
        </w:rPr>
      </w:pPr>
    </w:p>
    <w:p w14:paraId="6FAA09F5" w14:textId="6A2F88D4"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D4291F" w:rsidRPr="00A1156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p>
    <w:p w14:paraId="694CFD7A" w14:textId="016EB5AA"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w:t>
      </w:r>
      <w:ins w:id="66" w:author="Autor">
        <w:r w:rsidR="00D13713">
          <w:rPr>
            <w:rFonts w:ascii="Times New Roman" w:hAnsi="Times New Roman"/>
          </w:rPr>
          <w:t xml:space="preserve"> </w:t>
        </w:r>
      </w:ins>
      <w:r w:rsidR="000A1C22" w:rsidRPr="009C012E">
        <w:rPr>
          <w:rFonts w:ascii="Times New Roman" w:hAnsi="Times New Roman"/>
        </w:rPr>
        <w: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018AD67" w14:textId="725FB3E2" w:rsidR="00254F13" w:rsidRDefault="00254F13" w:rsidP="00254F13">
      <w:pPr>
        <w:numPr>
          <w:ilvl w:val="1"/>
          <w:numId w:val="22"/>
        </w:numPr>
        <w:spacing w:before="120" w:after="0" w:line="264" w:lineRule="auto"/>
        <w:jc w:val="both"/>
        <w:rPr>
          <w:rFonts w:ascii="Times New Roman" w:hAnsi="Times New Roman"/>
        </w:rPr>
      </w:pPr>
      <w:r>
        <w:rPr>
          <w:rFonts w:ascii="Times New Roman" w:hAnsi="Times New Roman"/>
        </w:rPr>
        <w:t>Neuplatňuje sa</w:t>
      </w:r>
      <w:r w:rsidRPr="00254F13">
        <w:rPr>
          <w:rFonts w:ascii="Times New Roman" w:hAnsi="Times New Roman"/>
        </w:rPr>
        <w:t xml:space="preserve"> </w:t>
      </w:r>
    </w:p>
    <w:p w14:paraId="5DF86FAD" w14:textId="543EA220" w:rsidR="00254F13" w:rsidRDefault="00254F13" w:rsidP="004D357F">
      <w:pPr>
        <w:spacing w:before="120" w:after="0" w:line="264" w:lineRule="auto"/>
        <w:jc w:val="both"/>
        <w:rPr>
          <w:rFonts w:ascii="Times New Roman" w:hAnsi="Times New Roman"/>
        </w:rPr>
      </w:pP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w:t>
      </w:r>
      <w:r w:rsidR="00E764D2" w:rsidRPr="00A1156D">
        <w:rPr>
          <w:rFonts w:ascii="Times New Roman" w:hAnsi="Times New Roman"/>
        </w:rPr>
        <w:lastRenderedPageBreak/>
        <w:t>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konania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xml:space="preserve">) 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ezodkladne po ich dodaní, poskytnutí alebo vykonaní, nie však neskôr ako v lehote určenej Poskytovateľom</w:t>
      </w:r>
      <w:r w:rsidR="00C53921" w:rsidRPr="00A1156D">
        <w:rPr>
          <w:rFonts w:ascii="Times New Roman" w:hAnsi="Times New Roman"/>
        </w:rPr>
        <w:t>.</w:t>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w:t>
      </w:r>
      <w:r w:rsidR="00F47149" w:rsidRPr="00A1156D">
        <w:rPr>
          <w:rFonts w:ascii="Times New Roman" w:hAnsi="Times New Roman"/>
        </w:rPr>
        <w:lastRenderedPageBreak/>
        <w:t xml:space="preserve">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Dočasný pútač musí byť dostatočne veľký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lastRenderedPageBreak/>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07E51C91"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w:t>
      </w:r>
      <w:ins w:id="67" w:author="Autor">
        <w:r w:rsidR="00D13713">
          <w:rPr>
            <w:rFonts w:ascii="Times New Roman" w:hAnsi="Times New Roman"/>
          </w:rPr>
          <w:br/>
        </w:r>
      </w:ins>
      <w:r w:rsidRPr="00A1156D">
        <w:rPr>
          <w:rFonts w:ascii="Times New Roman" w:hAnsi="Times New Roman"/>
        </w:rPr>
        <w:t xml:space="preserve">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t>VLASTNÍCTVO A POUŽITIE VÝSTUPOV</w:t>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w:t>
      </w:r>
      <w:r w:rsidRPr="00A1156D">
        <w:rPr>
          <w:rFonts w:ascii="Times New Roman" w:hAnsi="Times New Roman"/>
          <w:bCs/>
        </w:rPr>
        <w:lastRenderedPageBreak/>
        <w:t>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ajetku </w:t>
      </w:r>
      <w:r w:rsidRPr="00A1156D">
        <w:rPr>
          <w:rFonts w:ascii="Times New Roman" w:eastAsia="Times New Roman" w:hAnsi="Times New Roman"/>
          <w:bCs/>
          <w:lang w:eastAsia="sk-SK"/>
        </w:rPr>
        <w:lastRenderedPageBreak/>
        <w:t>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lastRenderedPageBreak/>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3CF253A" w:rsidR="00107570" w:rsidRPr="00607648" w:rsidRDefault="00174CB4" w:rsidP="00607648">
      <w:pPr>
        <w:pStyle w:val="AODefPara"/>
        <w:numPr>
          <w:ilvl w:val="1"/>
          <w:numId w:val="4"/>
        </w:numPr>
        <w:spacing w:before="120" w:line="264" w:lineRule="auto"/>
        <w:rPr>
          <w:bCs/>
        </w:rPr>
      </w:pPr>
      <w:r w:rsidRPr="00A1156D">
        <w:lastRenderedPageBreak/>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aktivít Projektu musí byť ukončená najneskôr do uplynutia stanoveného obdobia oprávnenosti podľa právnych aktov EÚ, t.</w:t>
      </w:r>
      <w:ins w:id="68" w:author="Autor">
        <w:r w:rsidR="00D13713">
          <w:rPr>
            <w:bCs/>
          </w:rPr>
          <w:t xml:space="preserve"> </w:t>
        </w:r>
      </w:ins>
      <w:r w:rsidR="00107570" w:rsidRPr="00607648">
        <w:rPr>
          <w:bCs/>
        </w:rPr>
        <w:t xml:space="preserve">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w:t>
      </w:r>
      <w:del w:id="69" w:author="Autor">
        <w:r w:rsidR="00107570" w:rsidRPr="00607648" w:rsidDel="002C43F2">
          <w:rPr>
            <w:bCs/>
          </w:rPr>
          <w:delText xml:space="preserve"> </w:delText>
        </w:r>
      </w:del>
      <w:ins w:id="70" w:author="Autor">
        <w:r w:rsidR="002C43F2">
          <w:rPr>
            <w:bCs/>
          </w:rPr>
          <w:t xml:space="preserve"> </w:t>
        </w:r>
      </w:ins>
      <w:del w:id="71" w:author="Autor">
        <w:r w:rsidR="007460F8" w:rsidRPr="00607648" w:rsidDel="002C43F2">
          <w:rPr>
            <w:bCs/>
          </w:rPr>
          <w:br/>
        </w:r>
      </w:del>
      <w:r w:rsidR="00107570" w:rsidRPr="00607648">
        <w:rPr>
          <w:bCs/>
        </w:rPr>
        <w:t>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223E35CC"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ins w:id="72" w:author="Autor">
        <w:r w:rsidR="002C43F2">
          <w:rPr>
            <w:rFonts w:ascii="Times New Roman" w:hAnsi="Times New Roman"/>
            <w:bCs/>
            <w:lang w:eastAsia="sk-SK"/>
          </w:rPr>
          <w:t xml:space="preserve"> </w:t>
        </w:r>
      </w:ins>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0868075A"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ins w:id="73" w:author="Autor">
        <w:r w:rsidR="002C43F2">
          <w:rPr>
            <w:rFonts w:ascii="Times New Roman" w:hAnsi="Times New Roman"/>
            <w:bCs/>
          </w:rPr>
          <w:t xml:space="preserve"> </w:t>
        </w:r>
      </w:ins>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w:t>
      </w:r>
      <w:r w:rsidRPr="00A1156D">
        <w:rPr>
          <w:rFonts w:ascii="Times New Roman" w:hAnsi="Times New Roman"/>
          <w:bCs/>
        </w:rPr>
        <w:lastRenderedPageBreak/>
        <w:t xml:space="preserve">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lastRenderedPageBreak/>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01CA70FE"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31.12.2023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lastRenderedPageBreak/>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w:t>
      </w:r>
      <w:r w:rsidRPr="00A1156D">
        <w:rPr>
          <w:rFonts w:ascii="Times New Roman" w:hAnsi="Times New Roman"/>
        </w:rPr>
        <w:lastRenderedPageBreak/>
        <w:t xml:space="preserve">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alebo v predĺženej lehote po akceptovaní alebo schválení 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w:t>
      </w:r>
      <w:r w:rsidRPr="00A1156D">
        <w:rPr>
          <w:rFonts w:ascii="Times New Roman" w:hAnsi="Times New Roman"/>
          <w:bCs/>
        </w:rPr>
        <w:lastRenderedPageBreak/>
        <w:t xml:space="preserve">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od nadobudnutia účinnosti Zmluvy o poskytnutí NFP </w:t>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 xml:space="preserve">o poskytnutí NFP, </w:t>
      </w:r>
      <w:r w:rsidRPr="00A1156D">
        <w:rPr>
          <w:rFonts w:ascii="Times New Roman" w:hAnsi="Times New Roman"/>
        </w:rPr>
        <w:lastRenderedPageBreak/>
        <w:t>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78184D">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w:t>
      </w:r>
      <w:r w:rsidRPr="00A1156D">
        <w:rPr>
          <w:sz w:val="22"/>
          <w:szCs w:val="22"/>
        </w:rPr>
        <w:lastRenderedPageBreak/>
        <w:t>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w:t>
      </w:r>
      <w:r w:rsidRPr="00A1156D">
        <w:rPr>
          <w:rFonts w:ascii="Times New Roman" w:hAnsi="Times New Roman"/>
          <w:lang w:eastAsia="sk-SK"/>
        </w:rPr>
        <w:lastRenderedPageBreak/>
        <w:t xml:space="preserve">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lastRenderedPageBreak/>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5A4F27EF"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lastRenderedPageBreak/>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w:t>
      </w:r>
      <w:r w:rsidR="00AF2E6B" w:rsidRPr="00A1156D">
        <w:rPr>
          <w:sz w:val="22"/>
          <w:szCs w:val="22"/>
        </w:rPr>
        <w:lastRenderedPageBreak/>
        <w:t>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607648">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Prijímateľ sa zaväzuje informovať </w:t>
      </w:r>
      <w:r w:rsidRPr="006055EE">
        <w:rPr>
          <w:sz w:val="22"/>
          <w:szCs w:val="22"/>
        </w:rPr>
        <w:t>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607648">
      <w:pPr>
        <w:pStyle w:val="Normlnywebov"/>
        <w:numPr>
          <w:ilvl w:val="0"/>
          <w:numId w:val="45"/>
        </w:numPr>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lastRenderedPageBreak/>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607648">
      <w:pPr>
        <w:pStyle w:val="Normlnywebov"/>
        <w:numPr>
          <w:ilvl w:val="0"/>
          <w:numId w:val="45"/>
        </w:numPr>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lastRenderedPageBreak/>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59C6F48"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ins w:id="74" w:author="Autor">
        <w:r w:rsidR="002572D2">
          <w:rPr>
            <w:rFonts w:ascii="Times New Roman" w:hAnsi="Times New Roman"/>
            <w:lang w:eastAsia="sk-SK"/>
          </w:rPr>
          <w:t>100</w:t>
        </w:r>
        <w:r w:rsidR="002C43F2">
          <w:rPr>
            <w:rFonts w:ascii="Times New Roman" w:hAnsi="Times New Roman"/>
            <w:lang w:eastAsia="sk-SK"/>
          </w:rPr>
          <w:t xml:space="preserve"> </w:t>
        </w:r>
      </w:ins>
      <w:del w:id="75" w:author="Autor">
        <w:r w:rsidR="008B1DAE" w:rsidRPr="00A1156D" w:rsidDel="002572D2">
          <w:rPr>
            <w:rFonts w:ascii="Times New Roman" w:hAnsi="Times New Roman"/>
            <w:lang w:eastAsia="sk-SK"/>
          </w:rPr>
          <w:delText xml:space="preserve">.... </w:delText>
        </w:r>
      </w:del>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3 mesiacov 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76"/>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76"/>
      <w:r w:rsidR="00492601">
        <w:rPr>
          <w:rStyle w:val="Odkaznakomentr"/>
          <w:rFonts w:ascii="Times New Roman" w:eastAsia="Times New Roman" w:hAnsi="Times New Roman"/>
        </w:rPr>
        <w:commentReference w:id="76"/>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w:t>
      </w:r>
      <w:r w:rsidR="0037663F" w:rsidRPr="00A1156D">
        <w:rPr>
          <w:rFonts w:ascii="Times New Roman" w:eastAsia="Times New Roman" w:hAnsi="Times New Roman"/>
          <w:color w:val="000000"/>
          <w:lang w:eastAsia="sk-SK"/>
        </w:rPr>
        <w:lastRenderedPageBreak/>
        <w:t>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vynakladané na majetok, ktorý je nový,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FB0C114"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ins w:id="77" w:author="Autor">
        <w:r w:rsidR="002C43F2">
          <w:rPr>
            <w:rFonts w:ascii="Times New Roman" w:hAnsi="Times New Roman"/>
          </w:rPr>
          <w:t xml:space="preserve"> </w:t>
        </w:r>
      </w:ins>
      <w:bookmarkStart w:id="78" w:name="_GoBack"/>
      <w:bookmarkEnd w:id="78"/>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lastRenderedPageBreak/>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or" w:initials="A">
    <w:p w14:paraId="310DE734" w14:textId="64F00C46" w:rsidR="00D13713" w:rsidRDefault="00D13713">
      <w:pPr>
        <w:pStyle w:val="Textkomentra"/>
      </w:pPr>
      <w:r>
        <w:rPr>
          <w:rStyle w:val="Odkaznakomentr"/>
        </w:rPr>
        <w:annotationRef/>
      </w:r>
      <w:r w:rsidRPr="004D357F">
        <w:t>V prípade, ak sa zjednodušené vykazovanie výdavkov v projekte neaplikuje RO predmetné ustanovenie odstráni</w:t>
      </w:r>
    </w:p>
  </w:comment>
  <w:comment w:id="14" w:author="Autor" w:initials="A">
    <w:p w14:paraId="6CBD698E" w14:textId="11B74CDB" w:rsidR="00D13713" w:rsidRDefault="00D13713"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D13713" w:rsidRDefault="00D13713">
      <w:pPr>
        <w:pStyle w:val="Textkomentra"/>
      </w:pPr>
    </w:p>
  </w:comment>
  <w:comment w:id="16" w:author="Autor" w:initials="A">
    <w:p w14:paraId="1B77E79F" w14:textId="435F99A8" w:rsidR="00D13713" w:rsidRDefault="00D13713">
      <w:pPr>
        <w:pStyle w:val="Textkomentra"/>
      </w:pPr>
      <w:r>
        <w:rPr>
          <w:rStyle w:val="Odkaznakomentr"/>
        </w:rPr>
        <w:annotationRef/>
      </w:r>
      <w:r w:rsidRPr="004D357F">
        <w:t>RO odstráni, ak sa v projekte zjednodušené vykazovanie výdavkov nevyužíva</w:t>
      </w:r>
    </w:p>
  </w:comment>
  <w:comment w:id="17" w:author="Autor" w:initials="A">
    <w:p w14:paraId="1D32CC75" w14:textId="15A73040" w:rsidR="00D13713" w:rsidRDefault="00D13713">
      <w:pPr>
        <w:pStyle w:val="Textkomentra"/>
      </w:pPr>
      <w:r>
        <w:rPr>
          <w:rStyle w:val="Odkaznakomentr"/>
        </w:rPr>
        <w:annotationRef/>
      </w:r>
      <w:r>
        <w:t xml:space="preserve">Pri projektoch TP na mzdy sa celé písm. b) vypustí a zvyšný text sa primerane gramaticky preformuluje.  </w:t>
      </w:r>
    </w:p>
  </w:comment>
  <w:comment w:id="61" w:author="Autor" w:initials="A">
    <w:p w14:paraId="18AC03C4" w14:textId="6ECDBA47" w:rsidR="00D13713" w:rsidRDefault="00D13713">
      <w:pPr>
        <w:pStyle w:val="Textkomentra"/>
      </w:pPr>
      <w:r>
        <w:rPr>
          <w:rStyle w:val="Odkaznakomentr"/>
        </w:rPr>
        <w:annotationRef/>
      </w:r>
      <w:r w:rsidRPr="004D357F">
        <w:t>RO odstráni, ak sa v projekte zjednodušené vykazovanie výdavkov nevyužíva.</w:t>
      </w:r>
    </w:p>
  </w:comment>
  <w:comment w:id="62" w:author="Autor" w:initials="A">
    <w:p w14:paraId="7DA5DE3A" w14:textId="77777777" w:rsidR="00D13713" w:rsidRPr="00335ACA" w:rsidRDefault="00D13713">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65" w:author="Autor" w:initials="A">
    <w:p w14:paraId="7AD35BCA" w14:textId="6D0C8DD5" w:rsidR="00D13713" w:rsidRDefault="00D13713">
      <w:pPr>
        <w:pStyle w:val="Textkomentra"/>
      </w:pPr>
      <w:r>
        <w:rPr>
          <w:rStyle w:val="Odkaznakomentr"/>
        </w:rPr>
        <w:annotationRef/>
      </w:r>
      <w:r w:rsidRPr="004D357F">
        <w:t>RO odstráni v prípade, že sa v projekte nevyužíva zjednodušené vykazovanie výdavkov.</w:t>
      </w:r>
    </w:p>
  </w:comment>
  <w:comment w:id="76" w:author="Autor" w:initials="A">
    <w:p w14:paraId="049BB140" w14:textId="28B96C32" w:rsidR="00D13713" w:rsidRDefault="00D13713">
      <w:pPr>
        <w:pStyle w:val="Textkomentra"/>
      </w:pPr>
      <w:r>
        <w:rPr>
          <w:rStyle w:val="Odkaznakomentr"/>
        </w:rPr>
        <w:annotationRef/>
      </w:r>
      <w:r w:rsidRPr="00492601">
        <w:t>Odstráni sa pre projekty, v ktorých sa zjednodušené vykazovanie výdavkov neaplikuje.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0DE734" w15:done="0"/>
  <w15:commentEx w15:paraId="3987557C" w15:done="0"/>
  <w15:commentEx w15:paraId="1B77E79F" w15:done="0"/>
  <w15:commentEx w15:paraId="1D32CC75" w15:done="0"/>
  <w15:commentEx w15:paraId="18AC03C4" w15:done="0"/>
  <w15:commentEx w15:paraId="7DA5DE3A" w15:done="0"/>
  <w15:commentEx w15:paraId="7AD35BCA" w15:done="0"/>
  <w15:commentEx w15:paraId="049BB14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E5A3D" w14:textId="77777777" w:rsidR="00D13713" w:rsidRDefault="00D13713" w:rsidP="00107570">
      <w:pPr>
        <w:spacing w:after="0" w:line="240" w:lineRule="auto"/>
      </w:pPr>
      <w:r>
        <w:separator/>
      </w:r>
    </w:p>
  </w:endnote>
  <w:endnote w:type="continuationSeparator" w:id="0">
    <w:p w14:paraId="6ACA0B2F" w14:textId="77777777" w:rsidR="00D13713" w:rsidRDefault="00D13713" w:rsidP="00107570">
      <w:pPr>
        <w:spacing w:after="0" w:line="240" w:lineRule="auto"/>
      </w:pPr>
      <w:r>
        <w:continuationSeparator/>
      </w:r>
    </w:p>
  </w:endnote>
  <w:endnote w:type="continuationNotice" w:id="1">
    <w:p w14:paraId="1FB81A84" w14:textId="77777777" w:rsidR="00D13713" w:rsidRDefault="00D13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623506FC" w:rsidR="00D13713" w:rsidRPr="00BF6236" w:rsidRDefault="00D13713"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F50E62">
      <w:rPr>
        <w:b/>
        <w:bCs/>
        <w:noProof/>
        <w:sz w:val="22"/>
      </w:rPr>
      <w:t>50</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F50E62">
      <w:rPr>
        <w:b/>
        <w:bCs/>
        <w:noProof/>
        <w:sz w:val="22"/>
      </w:rPr>
      <w:t>50</w:t>
    </w:r>
    <w:r w:rsidRPr="00BF6236">
      <w:rPr>
        <w:b/>
        <w:bCs/>
        <w:sz w:val="22"/>
      </w:rPr>
      <w:fldChar w:fldCharType="end"/>
    </w:r>
  </w:p>
  <w:p w14:paraId="5CB86AFB" w14:textId="77777777" w:rsidR="00D13713" w:rsidRPr="004405B8" w:rsidRDefault="00D13713"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FA8E8" w14:textId="77777777" w:rsidR="00D13713" w:rsidRDefault="00D13713" w:rsidP="00107570">
      <w:pPr>
        <w:spacing w:after="0" w:line="240" w:lineRule="auto"/>
      </w:pPr>
      <w:r>
        <w:separator/>
      </w:r>
    </w:p>
  </w:footnote>
  <w:footnote w:type="continuationSeparator" w:id="0">
    <w:p w14:paraId="5AE6B233" w14:textId="77777777" w:rsidR="00D13713" w:rsidRDefault="00D13713" w:rsidP="00107570">
      <w:pPr>
        <w:spacing w:after="0" w:line="240" w:lineRule="auto"/>
      </w:pPr>
      <w:r>
        <w:continuationSeparator/>
      </w:r>
    </w:p>
  </w:footnote>
  <w:footnote w:type="continuationNotice" w:id="1">
    <w:p w14:paraId="7A24306B" w14:textId="77777777" w:rsidR="00D13713" w:rsidRDefault="00D13713">
      <w:pPr>
        <w:spacing w:after="0" w:line="240" w:lineRule="auto"/>
      </w:pPr>
    </w:p>
  </w:footnote>
  <w:footnote w:id="2">
    <w:p w14:paraId="7157CFCE" w14:textId="77777777" w:rsidR="00D13713" w:rsidRDefault="00D13713"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p>
  </w:footnote>
  <w:footnote w:id="3">
    <w:p w14:paraId="2BA407ED" w14:textId="4E981592" w:rsidR="00D13713" w:rsidRDefault="00D13713"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D13713" w:rsidRPr="00A66B02" w:rsidRDefault="00D13713"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D13713" w:rsidRDefault="00D1371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3"/>
  </w:num>
  <w:num w:numId="5">
    <w:abstractNumId w:val="3"/>
  </w:num>
  <w:num w:numId="6">
    <w:abstractNumId w:val="49"/>
  </w:num>
  <w:num w:numId="7">
    <w:abstractNumId w:val="54"/>
  </w:num>
  <w:num w:numId="8">
    <w:abstractNumId w:val="70"/>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5"/>
  </w:num>
  <w:num w:numId="20">
    <w:abstractNumId w:val="62"/>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9"/>
  </w:num>
  <w:num w:numId="31">
    <w:abstractNumId w:val="43"/>
  </w:num>
  <w:num w:numId="32">
    <w:abstractNumId w:val="57"/>
  </w:num>
  <w:num w:numId="33">
    <w:abstractNumId w:val="56"/>
  </w:num>
  <w:num w:numId="34">
    <w:abstractNumId w:val="52"/>
  </w:num>
  <w:num w:numId="35">
    <w:abstractNumId w:val="47"/>
  </w:num>
  <w:num w:numId="36">
    <w:abstractNumId w:val="53"/>
  </w:num>
  <w:num w:numId="37">
    <w:abstractNumId w:val="30"/>
  </w:num>
  <w:num w:numId="38">
    <w:abstractNumId w:val="27"/>
  </w:num>
  <w:num w:numId="39">
    <w:abstractNumId w:val="9"/>
  </w:num>
  <w:num w:numId="40">
    <w:abstractNumId w:val="58"/>
  </w:num>
  <w:num w:numId="41">
    <w:abstractNumId w:val="71"/>
  </w:num>
  <w:num w:numId="42">
    <w:abstractNumId w:val="55"/>
  </w:num>
  <w:num w:numId="43">
    <w:abstractNumId w:val="51"/>
  </w:num>
  <w:num w:numId="44">
    <w:abstractNumId w:val="64"/>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60"/>
  </w:num>
  <w:num w:numId="54">
    <w:abstractNumId w:val="66"/>
  </w:num>
  <w:num w:numId="55">
    <w:abstractNumId w:val="24"/>
  </w:num>
  <w:num w:numId="56">
    <w:abstractNumId w:val="45"/>
  </w:num>
  <w:num w:numId="57">
    <w:abstractNumId w:val="20"/>
  </w:num>
  <w:num w:numId="58">
    <w:abstractNumId w:val="25"/>
  </w:num>
  <w:num w:numId="59">
    <w:abstractNumId w:val="40"/>
  </w:num>
  <w:num w:numId="60">
    <w:abstractNumId w:val="67"/>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1"/>
  </w:num>
  <w:num w:numId="72">
    <w:abstractNumId w:val="59"/>
  </w:num>
  <w:num w:numId="73">
    <w:abstractNumId w:val="28"/>
  </w:num>
  <w:num w:numId="74">
    <w:abstractNumId w:val="68"/>
  </w:num>
  <w:num w:numId="75">
    <w:abstractNumId w:val="18"/>
  </w:num>
  <w:num w:numId="76">
    <w:abstractNumId w:val="2"/>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4F13"/>
    <w:rsid w:val="00255ADD"/>
    <w:rsid w:val="002572D2"/>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DC0"/>
    <w:rsid w:val="004A0FA3"/>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1229"/>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9ED"/>
    <w:rsid w:val="006B2244"/>
    <w:rsid w:val="006B5BAD"/>
    <w:rsid w:val="006C0810"/>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0E054-57D3-48CC-94EB-789D74A7E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26176</Words>
  <Characters>149207</Characters>
  <Application>Microsoft Office Word</Application>
  <DocSecurity>0</DocSecurity>
  <Lines>1243</Lines>
  <Paragraphs>350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2021-09-10T09:06:00Z</dcterms:created>
  <dcterms:modified xsi:type="dcterms:W3CDTF">2021-09-10T09:06:00Z</dcterms:modified>
</cp:coreProperties>
</file>