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ins w:id="0" w:author="Autor">
        <w:r w:rsidR="00504797">
          <w:rPr>
            <w:rFonts w:ascii="Times New Roman" w:hAnsi="Times New Roman"/>
          </w:rPr>
          <w:t xml:space="preserve"> </w:t>
        </w:r>
      </w:ins>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ins w:id="1" w:author="Autor">
        <w:r w:rsidR="00504797">
          <w:rPr>
            <w:rFonts w:ascii="Times New Roman" w:hAnsi="Times New Roman"/>
          </w:rPr>
          <w:t xml:space="preserve"> </w:t>
        </w:r>
      </w:ins>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2"/>
      <w:commentRangeEnd w:id="2"/>
      <w:r w:rsidRPr="001E3C5A">
        <w:rPr>
          <w:rStyle w:val="Odkaznakomentr"/>
          <w:rFonts w:ascii="Times New Roman" w:hAnsi="Times New Roman"/>
          <w:b/>
          <w:sz w:val="22"/>
          <w:lang w:val="x-none"/>
        </w:rPr>
        <w:commentReference w:id="2"/>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3"/>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3"/>
      <w:r>
        <w:rPr>
          <w:rStyle w:val="Odkaznakomentr"/>
          <w:rFonts w:ascii="Times New Roman" w:eastAsia="Times New Roman" w:hAnsi="Times New Roman"/>
          <w:lang w:val="x-none" w:eastAsia="x-none"/>
        </w:rPr>
        <w:commentReference w:id="3"/>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proofErr w:type="spellStart"/>
      <w:r w:rsidRPr="00A1156D">
        <w:rPr>
          <w:rFonts w:ascii="Times New Roman" w:hAnsi="Times New Roman"/>
          <w:b/>
          <w:bCs/>
        </w:rPr>
        <w:t>Mikro</w:t>
      </w:r>
      <w:proofErr w:type="spellEnd"/>
      <w:r w:rsidRPr="00A1156D">
        <w:rPr>
          <w:rFonts w:ascii="Times New Roman" w:hAnsi="Times New Roman"/>
          <w:b/>
          <w:bCs/>
        </w:rPr>
        <w:t xml:space="preserve">,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proofErr w:type="spellStart"/>
      <w:r w:rsidR="00DC21A2" w:rsidRPr="00A1156D">
        <w:rPr>
          <w:sz w:val="22"/>
          <w:szCs w:val="22"/>
        </w:rPr>
        <w:t>nasl</w:t>
      </w:r>
      <w:proofErr w:type="spellEnd"/>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 xml:space="preserve">ariadenie Európskeho parlamentu a Rady (EÚ, </w:t>
      </w:r>
      <w:proofErr w:type="spellStart"/>
      <w:r w:rsidRPr="00A1156D">
        <w:rPr>
          <w:rStyle w:val="Vrazn"/>
          <w:b w:val="0"/>
        </w:rPr>
        <w:t>Euratom</w:t>
      </w:r>
      <w:proofErr w:type="spellEnd"/>
      <w:r w:rsidRPr="00A1156D">
        <w:rPr>
          <w:rStyle w:val="Vrazn"/>
          <w:b w:val="0"/>
        </w:rPr>
        <w:t>)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proofErr w:type="spellStart"/>
      <w:r w:rsidRPr="00A1156D">
        <w:rPr>
          <w:rStyle w:val="Vrazn"/>
          <w:b w:val="0"/>
        </w:rPr>
        <w:t>Euratom</w:t>
      </w:r>
      <w:proofErr w:type="spellEnd"/>
      <w:r w:rsidRPr="00A1156D">
        <w:rPr>
          <w:rStyle w:val="Vrazn"/>
          <w:b w:val="0"/>
        </w:rPr>
        <w:t>)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w:t>
      </w:r>
      <w:proofErr w:type="spellStart"/>
      <w:r w:rsidRPr="00A1156D">
        <w:rPr>
          <w:rFonts w:ascii="Times New Roman" w:hAnsi="Times New Roman"/>
        </w:rPr>
        <w:t>maior</w:t>
      </w:r>
      <w:proofErr w:type="spellEnd"/>
      <w:r w:rsidRPr="00A1156D">
        <w:rPr>
          <w:rFonts w:ascii="Times New Roman" w:hAnsi="Times New Roman"/>
        </w:rPr>
        <w:t xml:space="preserve">,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4"/>
      <w:commentRangeStart w:id="5"/>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4"/>
      <w:commentRangeEnd w:id="5"/>
      <w:r w:rsidR="004D357F">
        <w:rPr>
          <w:rStyle w:val="Odkaznakomentr"/>
          <w:rFonts w:ascii="Times New Roman" w:eastAsia="Times New Roman" w:hAnsi="Times New Roman"/>
        </w:rPr>
        <w:commentReference w:id="4"/>
      </w:r>
      <w:r w:rsidR="004D357F">
        <w:rPr>
          <w:rStyle w:val="Odkaznakomentr"/>
          <w:rFonts w:ascii="Times New Roman" w:eastAsia="Times New Roman" w:hAnsi="Times New Roman"/>
        </w:rPr>
        <w:commentReference w:id="5"/>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 xml:space="preserve">skončeniu alebo premiestneniu výrobnej činnosti mimo oprávnené miesto realizácie Projektu, </w:t>
      </w:r>
      <w:proofErr w:type="spellStart"/>
      <w:r w:rsidRPr="00A1156D">
        <w:t>t.j</w:t>
      </w:r>
      <w:proofErr w:type="spellEnd"/>
      <w:r w:rsidRPr="00A1156D">
        <w:t>.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6"/>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w:t>
      </w:r>
      <w:proofErr w:type="spellStart"/>
      <w:r w:rsidRPr="00A1156D">
        <w:rPr>
          <w:rFonts w:ascii="Times New Roman" w:hAnsi="Times New Roman"/>
        </w:rPr>
        <w:t>t.j</w:t>
      </w:r>
      <w:proofErr w:type="spellEnd"/>
      <w:r w:rsidRPr="00A1156D">
        <w:rPr>
          <w:rFonts w:ascii="Times New Roman" w:hAnsi="Times New Roman"/>
        </w:rPr>
        <w:t>.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6"/>
      <w:r w:rsidR="00D71B28">
        <w:rPr>
          <w:rStyle w:val="Odkaznakomentr"/>
          <w:rFonts w:ascii="Times New Roman" w:eastAsia="Times New Roman" w:hAnsi="Times New Roman"/>
        </w:rPr>
        <w:commentReference w:id="6"/>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 xml:space="preserve">hmotne </w:t>
      </w:r>
      <w:proofErr w:type="spellStart"/>
      <w:r w:rsidRPr="00A1156D">
        <w:rPr>
          <w:rFonts w:ascii="Times New Roman" w:hAnsi="Times New Roman"/>
        </w:rPr>
        <w:t>zachytiteľná</w:t>
      </w:r>
      <w:proofErr w:type="spellEnd"/>
      <w:r w:rsidR="0001763D">
        <w:rPr>
          <w:rFonts w:ascii="Times New Roman" w:hAnsi="Times New Roman"/>
        </w:rPr>
        <w:t xml:space="preserve"> (</w:t>
      </w:r>
      <w:proofErr w:type="spellStart"/>
      <w:r w:rsidR="0001763D">
        <w:rPr>
          <w:rFonts w:ascii="Times New Roman" w:hAnsi="Times New Roman"/>
        </w:rPr>
        <w:t>zaznamanateľná</w:t>
      </w:r>
      <w:proofErr w:type="spellEnd"/>
      <w:r w:rsidR="0001763D">
        <w:rPr>
          <w:rFonts w:ascii="Times New Roman" w:hAnsi="Times New Roman"/>
        </w:rPr>
        <w:t>)</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7"/>
      <w:commentRangeStart w:id="8"/>
      <w:r w:rsidRPr="00A1156D">
        <w:t>.............</w:t>
      </w:r>
      <w:commentRangeEnd w:id="7"/>
      <w:commentRangeEnd w:id="8"/>
      <w:r w:rsidR="000645E7" w:rsidRPr="000B7D53">
        <w:rPr>
          <w:rStyle w:val="Odkaznakomentr"/>
          <w:rFonts w:eastAsia="Times New Roman"/>
          <w:sz w:val="22"/>
          <w:szCs w:val="22"/>
        </w:rPr>
        <w:commentReference w:id="7"/>
      </w:r>
      <w:r w:rsidR="000645E7" w:rsidRPr="000B7D53">
        <w:rPr>
          <w:rStyle w:val="Odkaznakomentr"/>
          <w:rFonts w:eastAsia="Times New Roman"/>
          <w:sz w:val="22"/>
          <w:szCs w:val="22"/>
        </w:rPr>
        <w:commentReference w:id="8"/>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 xml:space="preserve">de </w:t>
      </w:r>
      <w:proofErr w:type="spellStart"/>
      <w:r w:rsidRPr="00A1156D">
        <w:rPr>
          <w:b/>
          <w:bCs/>
        </w:rPr>
        <w:t>minimis</w:t>
      </w:r>
      <w:proofErr w:type="spellEnd"/>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9"/>
      <w:commentRangeStart w:id="10"/>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9"/>
      <w:commentRangeEnd w:id="10"/>
      <w:r w:rsidR="004D357F">
        <w:rPr>
          <w:rStyle w:val="Odkaznakomentr"/>
          <w:rFonts w:eastAsia="Times New Roman"/>
        </w:rPr>
        <w:commentReference w:id="9"/>
      </w:r>
      <w:r w:rsidR="004D357F">
        <w:rPr>
          <w:rStyle w:val="Odkaznakomentr"/>
          <w:rFonts w:eastAsia="Times New Roman"/>
        </w:rPr>
        <w:commentReference w:id="10"/>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w:t>
      </w:r>
      <w:proofErr w:type="spellStart"/>
      <w:r w:rsidRPr="00A1156D">
        <w:t>minimis</w:t>
      </w:r>
      <w:proofErr w:type="spellEnd"/>
      <w:r w:rsidRPr="00A1156D">
        <w:t xml:space="preserve"> ako aj štátna pomoc. Povinnosti zmluvných strán, ktoré pre </w:t>
      </w:r>
      <w:proofErr w:type="spellStart"/>
      <w:r w:rsidRPr="00A1156D">
        <w:t>ne</w:t>
      </w:r>
      <w:proofErr w:type="spellEnd"/>
      <w:r w:rsidRPr="00A1156D">
        <w:t xml:space="preserv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(ďalej aj „</w:t>
      </w:r>
      <w:proofErr w:type="spellStart"/>
      <w:r w:rsidR="0001763D">
        <w:t>ŽoP</w:t>
      </w:r>
      <w:proofErr w:type="spellEnd"/>
      <w:r w:rsidR="0001763D">
        <w:t xml:space="preserve">“)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proofErr w:type="spellStart"/>
      <w:r w:rsidR="0001763D">
        <w:t>ŽoP</w:t>
      </w:r>
      <w:proofErr w:type="spellEnd"/>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11"/>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 xml:space="preserve">redmete Projektu, ktorý je hmotne </w:t>
      </w:r>
      <w:proofErr w:type="spellStart"/>
      <w:r w:rsidR="00324EB2" w:rsidRPr="00A1156D">
        <w:rPr>
          <w:rFonts w:ascii="Times New Roman" w:hAnsi="Times New Roman"/>
        </w:rPr>
        <w:t>zachytiteľný</w:t>
      </w:r>
      <w:proofErr w:type="spellEnd"/>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11"/>
      <w:r w:rsidR="00953378">
        <w:rPr>
          <w:rStyle w:val="Odkaznakomentr"/>
          <w:rFonts w:ascii="Times New Roman" w:eastAsia="Times New Roman" w:hAnsi="Times New Roman"/>
        </w:rPr>
        <w:commentReference w:id="11"/>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w:t>
      </w:r>
      <w:proofErr w:type="spellStart"/>
      <w:r w:rsidRPr="00A1156D">
        <w:rPr>
          <w:rFonts w:ascii="Times New Roman" w:hAnsi="Times New Roman"/>
        </w:rPr>
        <w:t>zachytiteľný</w:t>
      </w:r>
      <w:proofErr w:type="spellEnd"/>
      <w:r w:rsidR="00ED13A2">
        <w:rPr>
          <w:rFonts w:ascii="Times New Roman" w:hAnsi="Times New Roman"/>
        </w:rPr>
        <w:t xml:space="preserve"> (</w:t>
      </w:r>
      <w:proofErr w:type="spellStart"/>
      <w:r w:rsidR="00ED13A2">
        <w:rPr>
          <w:rFonts w:ascii="Times New Roman" w:hAnsi="Times New Roman"/>
        </w:rPr>
        <w:t>zaznamenateľný</w:t>
      </w:r>
      <w:proofErr w:type="spellEnd"/>
      <w:r w:rsidR="00ED13A2">
        <w:rPr>
          <w:rFonts w:ascii="Times New Roman" w:hAnsi="Times New Roman"/>
        </w:rPr>
        <w:t>)</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12"/>
      <w:r w:rsidR="001E3EE1" w:rsidRPr="00A1156D">
        <w:rPr>
          <w:rFonts w:ascii="Times New Roman" w:hAnsi="Times New Roman"/>
        </w:rPr>
        <w:t>dokument</w:t>
      </w:r>
      <w:commentRangeEnd w:id="12"/>
      <w:r w:rsidR="001E3EE1" w:rsidRPr="00A1156D">
        <w:rPr>
          <w:rStyle w:val="Odkaznakomentr"/>
          <w:rFonts w:ascii="Times New Roman" w:hAnsi="Times New Roman"/>
          <w:sz w:val="22"/>
          <w:szCs w:val="22"/>
        </w:rPr>
        <w:commentReference w:id="12"/>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3"/>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13"/>
      <w:r w:rsidRPr="00A1156D">
        <w:rPr>
          <w:rStyle w:val="Odkaznakomentr"/>
          <w:rFonts w:ascii="Times New Roman" w:hAnsi="Times New Roman"/>
          <w:sz w:val="22"/>
          <w:szCs w:val="22"/>
        </w:rPr>
        <w:commentReference w:id="13"/>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 xml:space="preserve">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w:t>
      </w:r>
      <w:proofErr w:type="spellStart"/>
      <w:r w:rsidR="0001763D" w:rsidRPr="004C6CB4">
        <w:rPr>
          <w:rFonts w:ascii="Times New Roman" w:hAnsi="Times New Roman"/>
        </w:rPr>
        <w:t>t.j</w:t>
      </w:r>
      <w:proofErr w:type="spellEnd"/>
      <w:r w:rsidR="0001763D" w:rsidRPr="004C6CB4">
        <w:rPr>
          <w:rFonts w:ascii="Times New Roman" w:hAnsi="Times New Roman"/>
        </w:rPr>
        <w:t>.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14"/>
      <w:r w:rsidR="0001763D" w:rsidRPr="004C6CB4">
        <w:rPr>
          <w:rFonts w:ascii="Times New Roman" w:hAnsi="Times New Roman"/>
        </w:rPr>
        <w:t>NFP</w:t>
      </w:r>
      <w:commentRangeEnd w:id="14"/>
      <w:r w:rsidR="000D35CA">
        <w:rPr>
          <w:rStyle w:val="Odkaznakomentr"/>
          <w:rFonts w:ascii="Times New Roman" w:eastAsia="Times New Roman" w:hAnsi="Times New Roman"/>
        </w:rPr>
        <w:commentReference w:id="14"/>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w:t>
      </w:r>
      <w:proofErr w:type="spellStart"/>
      <w:r w:rsidR="00156C07" w:rsidRPr="00A1156D">
        <w:t>uisťovacích</w:t>
      </w:r>
      <w:proofErr w:type="spellEnd"/>
      <w:r w:rsidR="00156C07" w:rsidRPr="00A1156D">
        <w:t xml:space="preserve">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5"/>
      <w:commentRangeStart w:id="16"/>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5"/>
      <w:commentRangeEnd w:id="16"/>
      <w:r w:rsidR="004D357F">
        <w:rPr>
          <w:rStyle w:val="Odkaznakomentr"/>
          <w:rFonts w:eastAsia="Times New Roman"/>
        </w:rPr>
        <w:commentReference w:id="15"/>
      </w:r>
      <w:r w:rsidR="004D357F">
        <w:rPr>
          <w:rStyle w:val="Odkaznakomentr"/>
          <w:rFonts w:eastAsia="Times New Roman"/>
        </w:rPr>
        <w:commentReference w:id="16"/>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7"/>
      <w:r w:rsidRPr="00A1156D">
        <w:rPr>
          <w:bCs/>
        </w:rPr>
        <w:t xml:space="preserve">predloženie dokumentácie k VO na výkon </w:t>
      </w:r>
      <w:r w:rsidR="00161C93" w:rsidRPr="00A1156D">
        <w:rPr>
          <w:bCs/>
        </w:rPr>
        <w:t xml:space="preserve">prvej </w:t>
      </w:r>
      <w:r w:rsidRPr="00A1156D">
        <w:rPr>
          <w:bCs/>
        </w:rPr>
        <w:t>ex-</w:t>
      </w:r>
      <w:proofErr w:type="spellStart"/>
      <w:r w:rsidRPr="00A1156D">
        <w:rPr>
          <w:bCs/>
        </w:rPr>
        <w:t>ante</w:t>
      </w:r>
      <w:proofErr w:type="spellEnd"/>
      <w:r w:rsidRPr="00A1156D">
        <w:rPr>
          <w:bCs/>
        </w:rPr>
        <w:t xml:space="preserve"> kontroly, </w:t>
      </w:r>
      <w:r w:rsidR="0095057C" w:rsidRPr="00A1156D">
        <w:rPr>
          <w:bCs/>
        </w:rPr>
        <w:t>alebo</w:t>
      </w:r>
      <w:commentRangeEnd w:id="17"/>
      <w:r w:rsidR="00335ACA" w:rsidRPr="000B7D53">
        <w:rPr>
          <w:rStyle w:val="Odkaznakomentr"/>
          <w:rFonts w:eastAsia="Times New Roman"/>
          <w:sz w:val="22"/>
          <w:szCs w:val="22"/>
        </w:rPr>
        <w:commentReference w:id="17"/>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w:t>
      </w:r>
      <w:proofErr w:type="spellStart"/>
      <w:r w:rsidRPr="00A1156D">
        <w:rPr>
          <w:bCs/>
        </w:rPr>
        <w:t>ante</w:t>
      </w:r>
      <w:proofErr w:type="spellEnd"/>
      <w:r w:rsidRPr="00A1156D">
        <w:rPr>
          <w:bCs/>
        </w:rPr>
        <w:t xml:space="preserv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w:t>
      </w:r>
      <w:proofErr w:type="spellStart"/>
      <w:r w:rsidRPr="00A1156D">
        <w:rPr>
          <w:rFonts w:ascii="Times New Roman" w:hAnsi="Times New Roman"/>
          <w:b/>
        </w:rPr>
        <w:t>ŽoP</w:t>
      </w:r>
      <w:proofErr w:type="spellEnd"/>
      <w:r w:rsidRPr="00A1156D">
        <w:rPr>
          <w:rFonts w:ascii="Times New Roman" w:hAnsi="Times New Roman"/>
          <w:b/>
        </w:rPr>
        <w:t xml:space="preserve">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xml:space="preserve">, </w:t>
      </w:r>
      <w:proofErr w:type="spellStart"/>
      <w:r w:rsidRPr="00A1156D">
        <w:rPr>
          <w:rFonts w:ascii="Times New Roman" w:hAnsi="Times New Roman"/>
        </w:rPr>
        <w:t>t.j</w:t>
      </w:r>
      <w:proofErr w:type="spellEnd"/>
      <w:r w:rsidRPr="00A1156D">
        <w:rPr>
          <w:rFonts w:ascii="Times New Roman" w:hAnsi="Times New Roman"/>
        </w:rPr>
        <w:t>. prostriedky EÚ a štátneho rozpočtu na spolufinancovanie</w:t>
      </w:r>
      <w:r w:rsidR="00156C07" w:rsidRPr="00A1156D">
        <w:rPr>
          <w:rFonts w:ascii="Times New Roman" w:hAnsi="Times New Roman"/>
        </w:rPr>
        <w:t xml:space="preserve"> </w:t>
      </w:r>
      <w:commentRangeStart w:id="18"/>
      <w:r w:rsidR="00156C07" w:rsidRPr="00A1156D">
        <w:rPr>
          <w:rFonts w:ascii="Times New Roman" w:hAnsi="Times New Roman"/>
        </w:rPr>
        <w:t xml:space="preserve">a zdroja pro-rata </w:t>
      </w:r>
      <w:commentRangeEnd w:id="18"/>
      <w:r w:rsidR="000D35CA">
        <w:rPr>
          <w:rStyle w:val="Odkaznakomentr"/>
          <w:rFonts w:ascii="Times New Roman" w:eastAsia="Times New Roman" w:hAnsi="Times New Roman"/>
        </w:rPr>
        <w:commentReference w:id="18"/>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w:t>
      </w:r>
      <w:proofErr w:type="spellStart"/>
      <w:r w:rsidR="00BF63E4" w:rsidRPr="00A1156D">
        <w:rPr>
          <w:rFonts w:ascii="Times New Roman" w:hAnsi="Times New Roman"/>
          <w:b/>
          <w:bCs/>
        </w:rPr>
        <w:t>ŽoV</w:t>
      </w:r>
      <w:proofErr w:type="spellEnd"/>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w:t>
      </w:r>
      <w:proofErr w:type="spellStart"/>
      <w:r w:rsidR="00FB2E45" w:rsidRPr="00A1156D">
        <w:rPr>
          <w:rFonts w:ascii="Times New Roman" w:hAnsi="Times New Roman"/>
        </w:rPr>
        <w:t>vo</w:t>
      </w:r>
      <w:proofErr w:type="spellEnd"/>
      <w:r w:rsidR="00FB2E45" w:rsidRPr="00A1156D">
        <w:rPr>
          <w:rFonts w:ascii="Times New Roman" w:hAnsi="Times New Roman"/>
        </w:rPr>
        <w:t xml:space="preserve">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9"/>
      <w:r w:rsidR="008B0FB1" w:rsidRPr="00A1156D">
        <w:rPr>
          <w:rFonts w:ascii="Times New Roman" w:hAnsi="Times New Roman"/>
        </w:rPr>
        <w:t>obvyklej praxe (</w:t>
      </w:r>
      <w:proofErr w:type="spellStart"/>
      <w:r w:rsidR="008B0FB1" w:rsidRPr="00A1156D">
        <w:rPr>
          <w:rFonts w:ascii="Times New Roman" w:hAnsi="Times New Roman"/>
        </w:rPr>
        <w:t>best</w:t>
      </w:r>
      <w:proofErr w:type="spellEnd"/>
      <w:r w:rsidR="008B0FB1" w:rsidRPr="00A1156D">
        <w:rPr>
          <w:rFonts w:ascii="Times New Roman" w:hAnsi="Times New Roman"/>
        </w:rPr>
        <w:t xml:space="preserve"> </w:t>
      </w:r>
      <w:proofErr w:type="spellStart"/>
      <w:r w:rsidR="008B0FB1" w:rsidRPr="00A1156D">
        <w:rPr>
          <w:rFonts w:ascii="Times New Roman" w:hAnsi="Times New Roman"/>
        </w:rPr>
        <w:t>practi</w:t>
      </w:r>
      <w:r w:rsidR="00C42C3B">
        <w:rPr>
          <w:rFonts w:ascii="Times New Roman" w:hAnsi="Times New Roman"/>
        </w:rPr>
        <w:t>c</w:t>
      </w:r>
      <w:r w:rsidR="008B0FB1" w:rsidRPr="00A1156D">
        <w:rPr>
          <w:rFonts w:ascii="Times New Roman" w:hAnsi="Times New Roman"/>
        </w:rPr>
        <w:t>e</w:t>
      </w:r>
      <w:proofErr w:type="spellEnd"/>
      <w:r w:rsidR="008B0FB1" w:rsidRPr="00A1156D">
        <w:rPr>
          <w:rFonts w:ascii="Times New Roman" w:hAnsi="Times New Roman"/>
        </w:rPr>
        <w:t xml:space="preserve">) </w:t>
      </w:r>
      <w:commentRangeEnd w:id="19"/>
      <w:r w:rsidR="005E4601" w:rsidRPr="00A1156D">
        <w:rPr>
          <w:rStyle w:val="Odkaznakomentr"/>
          <w:rFonts w:ascii="Times New Roman" w:eastAsia="Times New Roman" w:hAnsi="Times New Roman"/>
          <w:sz w:val="22"/>
          <w:szCs w:val="22"/>
        </w:rPr>
        <w:commentReference w:id="19"/>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prvú ex </w:t>
      </w:r>
      <w:proofErr w:type="spellStart"/>
      <w:r w:rsidR="00175E5B" w:rsidRPr="00E242EC">
        <w:rPr>
          <w:sz w:val="22"/>
          <w:szCs w:val="22"/>
        </w:rPr>
        <w:t>ante</w:t>
      </w:r>
      <w:proofErr w:type="spellEnd"/>
      <w:r w:rsidR="00175E5B" w:rsidRPr="00E242EC">
        <w:rPr>
          <w:sz w:val="22"/>
          <w:szCs w:val="22"/>
        </w:rPr>
        <w:t xml:space="preserv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 xml:space="preserve">prvá ex </w:t>
      </w:r>
      <w:proofErr w:type="spellStart"/>
      <w:r w:rsidR="00DF7A73">
        <w:rPr>
          <w:sz w:val="22"/>
          <w:szCs w:val="22"/>
        </w:rPr>
        <w:t>ante</w:t>
      </w:r>
      <w:proofErr w:type="spellEnd"/>
      <w:r w:rsidR="00DF7A73">
        <w:rPr>
          <w:sz w:val="22"/>
          <w:szCs w:val="22"/>
        </w:rPr>
        <w:t xml:space="preserv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proofErr w:type="spellStart"/>
      <w:r w:rsidR="003C0F18" w:rsidRPr="00A1156D">
        <w:rPr>
          <w:sz w:val="22"/>
          <w:szCs w:val="22"/>
        </w:rPr>
        <w:t>ante</w:t>
      </w:r>
      <w:proofErr w:type="spellEnd"/>
      <w:r w:rsidR="003C0F18" w:rsidRPr="00A1156D">
        <w:rPr>
          <w:sz w:val="22"/>
          <w:szCs w:val="22"/>
        </w:rPr>
        <w:t xml:space="preserv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w:t>
      </w:r>
      <w:proofErr w:type="spellStart"/>
      <w:r w:rsidR="00175E5B" w:rsidRPr="00E242EC">
        <w:rPr>
          <w:sz w:val="22"/>
          <w:szCs w:val="22"/>
        </w:rPr>
        <w:t>ante</w:t>
      </w:r>
      <w:proofErr w:type="spellEnd"/>
      <w:r w:rsidR="00175E5B" w:rsidRPr="00E242EC">
        <w:rPr>
          <w:sz w:val="22"/>
          <w:szCs w:val="22"/>
        </w:rPr>
        <w:t xml:space="preserve"> kontrola nie je povinná a </w:t>
      </w:r>
      <w:r w:rsidR="00175E5B">
        <w:rPr>
          <w:sz w:val="22"/>
          <w:szCs w:val="22"/>
        </w:rPr>
        <w:t>P</w:t>
      </w:r>
      <w:r w:rsidR="00175E5B" w:rsidRPr="00E242EC">
        <w:rPr>
          <w:sz w:val="22"/>
          <w:szCs w:val="22"/>
        </w:rPr>
        <w:t xml:space="preserve">rijímateľ sa môže dobrovoľne rozhodnúť predložiť dokumentáciu na druhú ex </w:t>
      </w:r>
      <w:proofErr w:type="spellStart"/>
      <w:r w:rsidR="00175E5B" w:rsidRPr="00E242EC">
        <w:rPr>
          <w:sz w:val="22"/>
          <w:szCs w:val="22"/>
        </w:rPr>
        <w:t>ante</w:t>
      </w:r>
      <w:proofErr w:type="spellEnd"/>
      <w:r w:rsidR="00175E5B" w:rsidRPr="00E242EC">
        <w:rPr>
          <w:sz w:val="22"/>
          <w:szCs w:val="22"/>
        </w:rPr>
        <w:t xml:space="preserv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 xml:space="preserve">druhá ex </w:t>
      </w:r>
      <w:proofErr w:type="spellStart"/>
      <w:r w:rsidR="00335265">
        <w:rPr>
          <w:sz w:val="22"/>
          <w:szCs w:val="22"/>
        </w:rPr>
        <w:t>ante</w:t>
      </w:r>
      <w:proofErr w:type="spellEnd"/>
      <w:r w:rsidR="00335265">
        <w:rPr>
          <w:sz w:val="22"/>
          <w:szCs w:val="22"/>
        </w:rPr>
        <w:t xml:space="preserv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proofErr w:type="spellStart"/>
      <w:r w:rsidRPr="00AC5A46">
        <w:rPr>
          <w:sz w:val="22"/>
          <w:szCs w:val="22"/>
        </w:rPr>
        <w:t>ante</w:t>
      </w:r>
      <w:proofErr w:type="spellEnd"/>
      <w:r w:rsidRPr="00AC5A46">
        <w:rPr>
          <w:sz w:val="22"/>
          <w:szCs w:val="22"/>
        </w:rPr>
        <w:t xml:space="preserve"> kontrolu pred podpisom zmluvy </w:t>
      </w:r>
      <w:r>
        <w:rPr>
          <w:sz w:val="22"/>
          <w:szCs w:val="22"/>
        </w:rPr>
        <w:t xml:space="preserve">s úspešným uchádzačom (druhá ex </w:t>
      </w:r>
      <w:proofErr w:type="spellStart"/>
      <w:r w:rsidRPr="00AC5A46">
        <w:rPr>
          <w:sz w:val="22"/>
          <w:szCs w:val="22"/>
        </w:rPr>
        <w:t>ante</w:t>
      </w:r>
      <w:proofErr w:type="spellEnd"/>
      <w:r w:rsidRPr="00AC5A46">
        <w:rPr>
          <w:sz w:val="22"/>
          <w:szCs w:val="22"/>
        </w:rPr>
        <w:t xml:space="preserve"> kontrola nie je povinná a Prijímateľ sa môže dobrovoľne rozhodnúť pre</w:t>
      </w:r>
      <w:r>
        <w:rPr>
          <w:sz w:val="22"/>
          <w:szCs w:val="22"/>
        </w:rPr>
        <w:t xml:space="preserve">dložiť dokumentáciu na druhú ex </w:t>
      </w:r>
      <w:proofErr w:type="spellStart"/>
      <w:r w:rsidRPr="00AC5A46">
        <w:rPr>
          <w:sz w:val="22"/>
          <w:szCs w:val="22"/>
        </w:rPr>
        <w:t>ante</w:t>
      </w:r>
      <w:proofErr w:type="spellEnd"/>
      <w:r w:rsidRPr="00AC5A46">
        <w:rPr>
          <w:sz w:val="22"/>
          <w:szCs w:val="22"/>
        </w:rPr>
        <w:t xml:space="preserv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w:t>
      </w:r>
      <w:proofErr w:type="spellStart"/>
      <w:r w:rsidR="00965500">
        <w:rPr>
          <w:sz w:val="22"/>
          <w:szCs w:val="22"/>
        </w:rPr>
        <w:t>ante</w:t>
      </w:r>
      <w:proofErr w:type="spellEnd"/>
      <w:r w:rsidR="00965500">
        <w:rPr>
          <w:sz w:val="22"/>
          <w:szCs w:val="22"/>
        </w:rPr>
        <w:t xml:space="preserv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w:t>
      </w:r>
      <w:proofErr w:type="spellStart"/>
      <w:r w:rsidR="003B4088" w:rsidRPr="00A1156D">
        <w:rPr>
          <w:rFonts w:ascii="Times New Roman" w:hAnsi="Times New Roman"/>
        </w:rPr>
        <w:t>ante</w:t>
      </w:r>
      <w:proofErr w:type="spellEnd"/>
      <w:r w:rsidR="003B4088" w:rsidRPr="00A1156D">
        <w:rPr>
          <w:rFonts w:ascii="Times New Roman" w:hAnsi="Times New Roman"/>
        </w:rPr>
        <w:t xml:space="preserv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 xml:space="preserve">a Poskytovateľ identifikuje pri ex post kontrole VO nedostatky, ktoré mali alebo mohli mať vplyv na výsledok VO, určí zodpovedajúcu výšku ex </w:t>
      </w:r>
      <w:proofErr w:type="spellStart"/>
      <w:r w:rsidR="005E33E1" w:rsidRPr="005E33E1">
        <w:rPr>
          <w:rFonts w:ascii="Times New Roman" w:hAnsi="Times New Roman"/>
        </w:rPr>
        <w:t>ante</w:t>
      </w:r>
      <w:proofErr w:type="spellEnd"/>
      <w:r w:rsidR="005E33E1" w:rsidRPr="005E33E1">
        <w:rPr>
          <w:rFonts w:ascii="Times New Roman" w:hAnsi="Times New Roman"/>
        </w:rPr>
        <w:t xml:space="preserv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20"/>
      <w:r w:rsidRPr="00A1156D">
        <w:rPr>
          <w:rFonts w:ascii="Times New Roman" w:hAnsi="Times New Roman"/>
        </w:rPr>
        <w:t xml:space="preserve">iných nevyhnutných úkonov </w:t>
      </w:r>
      <w:commentRangeEnd w:id="20"/>
      <w:r w:rsidR="000E1967" w:rsidRPr="00A1156D">
        <w:rPr>
          <w:rStyle w:val="Odkaznakomentr"/>
          <w:rFonts w:ascii="Times New Roman" w:eastAsia="Times New Roman" w:hAnsi="Times New Roman"/>
          <w:sz w:val="22"/>
          <w:szCs w:val="22"/>
        </w:rPr>
        <w:commentReference w:id="20"/>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proofErr w:type="spellStart"/>
      <w:r w:rsidR="00BF38FB" w:rsidRPr="00A1156D">
        <w:rPr>
          <w:rFonts w:ascii="Times New Roman" w:hAnsi="Times New Roman"/>
        </w:rPr>
        <w:t>vo</w:t>
      </w:r>
      <w:proofErr w:type="spellEnd"/>
      <w:r w:rsidR="00BF38FB" w:rsidRPr="00A1156D">
        <w:rPr>
          <w:rFonts w:ascii="Times New Roman" w:hAnsi="Times New Roman"/>
        </w:rPr>
        <w:t xml:space="preserve">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w:t>
      </w:r>
      <w:proofErr w:type="spellStart"/>
      <w:r w:rsidR="003C0F18" w:rsidRPr="00A1156D">
        <w:rPr>
          <w:sz w:val="22"/>
          <w:szCs w:val="22"/>
        </w:rPr>
        <w:t>ante</w:t>
      </w:r>
      <w:proofErr w:type="spellEnd"/>
      <w:r w:rsidR="003C0F18" w:rsidRPr="00A1156D">
        <w:rPr>
          <w:sz w:val="22"/>
          <w:szCs w:val="22"/>
        </w:rPr>
        <w:t xml:space="preserv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w:t>
      </w:r>
      <w:proofErr w:type="spellStart"/>
      <w:r w:rsidRPr="00A1156D">
        <w:rPr>
          <w:rFonts w:ascii="Times New Roman" w:hAnsi="Times New Roman"/>
        </w:rPr>
        <w:t>ante</w:t>
      </w:r>
      <w:proofErr w:type="spellEnd"/>
      <w:r w:rsidRPr="00A1156D">
        <w:rPr>
          <w:rFonts w:ascii="Times New Roman" w:hAnsi="Times New Roman"/>
        </w:rPr>
        <w:t xml:space="preserv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w:t>
      </w:r>
      <w:proofErr w:type="spellStart"/>
      <w:r w:rsidRPr="00A1156D">
        <w:rPr>
          <w:rFonts w:ascii="Times New Roman" w:hAnsi="Times New Roman"/>
        </w:rPr>
        <w:t>ante</w:t>
      </w:r>
      <w:proofErr w:type="spellEnd"/>
      <w:r w:rsidRPr="00A1156D">
        <w:rPr>
          <w:rFonts w:ascii="Times New Roman" w:hAnsi="Times New Roman"/>
        </w:rPr>
        <w:t xml:space="preserv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berie na vedomie, že lehota určená, resp. dojednaná pre administratívnu finančnú kontrolu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w:t>
      </w:r>
      <w:proofErr w:type="spellStart"/>
      <w:r w:rsidRPr="00A1156D">
        <w:rPr>
          <w:rFonts w:ascii="Times New Roman" w:hAnsi="Times New Roman"/>
        </w:rPr>
        <w:t>ante</w:t>
      </w:r>
      <w:proofErr w:type="spellEnd"/>
      <w:r w:rsidRPr="00A1156D">
        <w:rPr>
          <w:rFonts w:ascii="Times New Roman" w:hAnsi="Times New Roman"/>
        </w:rPr>
        <w:t xml:space="preserve"> finančnej opravy. Ustanovenie predchádzajúcej vety neplatí v prípade, ak </w:t>
      </w:r>
      <w:proofErr w:type="spellStart"/>
      <w:r w:rsidRPr="00A1156D">
        <w:rPr>
          <w:rFonts w:ascii="Times New Roman" w:hAnsi="Times New Roman"/>
        </w:rPr>
        <w:t>Ž</w:t>
      </w:r>
      <w:r w:rsidR="00F44E3C">
        <w:rPr>
          <w:rFonts w:ascii="Times New Roman" w:hAnsi="Times New Roman"/>
        </w:rPr>
        <w:t>oP</w:t>
      </w:r>
      <w:proofErr w:type="spellEnd"/>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w:t>
      </w:r>
      <w:proofErr w:type="spellStart"/>
      <w:r w:rsidR="00FC28D0" w:rsidRPr="00A1156D">
        <w:rPr>
          <w:sz w:val="22"/>
          <w:szCs w:val="22"/>
        </w:rPr>
        <w:t>ante</w:t>
      </w:r>
      <w:proofErr w:type="spellEnd"/>
      <w:r w:rsidR="00FC28D0" w:rsidRPr="00A1156D">
        <w:rPr>
          <w:sz w:val="22"/>
          <w:szCs w:val="22"/>
        </w:rPr>
        <w:t xml:space="preserv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 xml:space="preserve">to všetko po uzavretí zmluvy Prijímateľa a úspešného uchádzača, ale ešte pred úhradou oprávnených výdavkov v </w:t>
      </w:r>
      <w:proofErr w:type="spellStart"/>
      <w:r w:rsidRPr="00A1156D">
        <w:rPr>
          <w:sz w:val="22"/>
          <w:szCs w:val="22"/>
        </w:rPr>
        <w:t>ŽoP</w:t>
      </w:r>
      <w:proofErr w:type="spellEnd"/>
      <w:r w:rsidRPr="00A1156D">
        <w:rPr>
          <w:sz w:val="22"/>
          <w:szCs w:val="22"/>
        </w:rPr>
        <w:t>,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proofErr w:type="spellStart"/>
      <w:r w:rsidR="0020253F">
        <w:rPr>
          <w:sz w:val="22"/>
          <w:szCs w:val="22"/>
        </w:rPr>
        <w:t>ŽoP</w:t>
      </w:r>
      <w:proofErr w:type="spellEnd"/>
      <w:r w:rsidRPr="00A1156D">
        <w:rPr>
          <w:sz w:val="22"/>
          <w:szCs w:val="22"/>
        </w:rPr>
        <w:t xml:space="preserve"> v rozsahu takýchto výdavkov, alebo sa po súhlase Prijímateľa stav konvaliduje prostredníctvom ex-</w:t>
      </w:r>
      <w:proofErr w:type="spellStart"/>
      <w:r w:rsidRPr="00A1156D">
        <w:rPr>
          <w:sz w:val="22"/>
          <w:szCs w:val="22"/>
        </w:rPr>
        <w:t>ante</w:t>
      </w:r>
      <w:proofErr w:type="spellEnd"/>
      <w:r w:rsidRPr="00A1156D">
        <w:rPr>
          <w:sz w:val="22"/>
          <w:szCs w:val="22"/>
        </w:rPr>
        <w:t xml:space="preserve"> finančnej opravy. Vo veci určenia ex-</w:t>
      </w:r>
      <w:proofErr w:type="spellStart"/>
      <w:r w:rsidRPr="00A1156D">
        <w:rPr>
          <w:sz w:val="22"/>
          <w:szCs w:val="22"/>
        </w:rPr>
        <w:t>ante</w:t>
      </w:r>
      <w:proofErr w:type="spellEnd"/>
      <w:r w:rsidRPr="00A1156D">
        <w:rPr>
          <w:sz w:val="22"/>
          <w:szCs w:val="22"/>
        </w:rPr>
        <w:t xml:space="preserv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erejného obstarávania. Konečné potvrdenie ex-</w:t>
      </w:r>
      <w:proofErr w:type="spellStart"/>
      <w:r w:rsidRPr="00A1156D">
        <w:rPr>
          <w:sz w:val="22"/>
          <w:szCs w:val="22"/>
        </w:rPr>
        <w:t>ante</w:t>
      </w:r>
      <w:proofErr w:type="spellEnd"/>
      <w:r w:rsidRPr="00A1156D">
        <w:rPr>
          <w:sz w:val="22"/>
          <w:szCs w:val="22"/>
        </w:rPr>
        <w:t xml:space="preserv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financovaniu za podmienky zníženia oprávnených výdavkov vo výške určenej ex-</w:t>
      </w:r>
      <w:proofErr w:type="spellStart"/>
      <w:r w:rsidRPr="00A1156D">
        <w:rPr>
          <w:sz w:val="22"/>
          <w:szCs w:val="22"/>
        </w:rPr>
        <w:t>ante</w:t>
      </w:r>
      <w:proofErr w:type="spellEnd"/>
      <w:r w:rsidRPr="00A1156D">
        <w:rPr>
          <w:sz w:val="22"/>
          <w:szCs w:val="22"/>
        </w:rPr>
        <w:t xml:space="preserve"> finančnej </w:t>
      </w:r>
      <w:r w:rsidR="0059734B" w:rsidRPr="00A1156D">
        <w:rPr>
          <w:sz w:val="22"/>
          <w:szCs w:val="22"/>
        </w:rPr>
        <w:t>opravy</w:t>
      </w:r>
      <w:r w:rsidRPr="00A1156D">
        <w:rPr>
          <w:sz w:val="22"/>
          <w:szCs w:val="22"/>
        </w:rPr>
        <w:t>. V prípade uzatvoreného dodatku k existujúcej zmluve na dodávku tovarov, služieb alebo stavebných prác medzi Prijímateľom a Dodávateľom Projektu sa ustanovenie týkajúce sa pripustenia súvisiacich výdavkov do financovania a ex-</w:t>
      </w:r>
      <w:proofErr w:type="spellStart"/>
      <w:r w:rsidRPr="00A1156D">
        <w:rPr>
          <w:sz w:val="22"/>
          <w:szCs w:val="22"/>
        </w:rPr>
        <w:t>ante</w:t>
      </w:r>
      <w:proofErr w:type="spellEnd"/>
      <w:r w:rsidRPr="00A1156D">
        <w:rPr>
          <w:sz w:val="22"/>
          <w:szCs w:val="22"/>
        </w:rPr>
        <w:t xml:space="preserv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21"/>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finančnej opravy je Prijímateľ povinný pri predkladaní </w:t>
      </w:r>
      <w:proofErr w:type="spellStart"/>
      <w:r w:rsidR="0020253F">
        <w:rPr>
          <w:rFonts w:ascii="Times New Roman" w:hAnsi="Times New Roman"/>
        </w:rPr>
        <w:t>ŽoP</w:t>
      </w:r>
      <w:proofErr w:type="spellEnd"/>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proofErr w:type="spellStart"/>
      <w:r w:rsidRPr="00A1156D">
        <w:rPr>
          <w:sz w:val="22"/>
          <w:szCs w:val="22"/>
        </w:rPr>
        <w:t>ante</w:t>
      </w:r>
      <w:proofErr w:type="spellEnd"/>
      <w:r w:rsidRPr="00A1156D">
        <w:rPr>
          <w:sz w:val="22"/>
          <w:szCs w:val="22"/>
        </w:rPr>
        <w:t xml:space="preserve"> finančná oprava (neuzatvorený dodatok k Zmluve o poskytnutí </w:t>
      </w:r>
      <w:r w:rsidR="0020253F">
        <w:rPr>
          <w:sz w:val="22"/>
          <w:szCs w:val="22"/>
        </w:rPr>
        <w:t>NFP</w:t>
      </w:r>
      <w:r w:rsidRPr="00A1156D">
        <w:rPr>
          <w:sz w:val="22"/>
          <w:szCs w:val="22"/>
        </w:rPr>
        <w:t xml:space="preserve">) – Prijímateľ predkladá </w:t>
      </w:r>
      <w:proofErr w:type="spellStart"/>
      <w:r w:rsidR="0020253F">
        <w:rPr>
          <w:sz w:val="22"/>
          <w:szCs w:val="22"/>
        </w:rPr>
        <w:t>ŽoP</w:t>
      </w:r>
      <w:proofErr w:type="spellEnd"/>
      <w:r w:rsidRPr="00A1156D">
        <w:rPr>
          <w:sz w:val="22"/>
          <w:szCs w:val="22"/>
        </w:rPr>
        <w:t xml:space="preserve"> zahŕňajúcu všetky výdavky vrátane výdavkov za nepotvrdenú ex</w:t>
      </w:r>
      <w:r w:rsidR="0020253F">
        <w:rPr>
          <w:sz w:val="22"/>
          <w:szCs w:val="22"/>
        </w:rPr>
        <w:t>-</w:t>
      </w:r>
      <w:proofErr w:type="spellStart"/>
      <w:r w:rsidRPr="00A1156D">
        <w:rPr>
          <w:sz w:val="22"/>
          <w:szCs w:val="22"/>
        </w:rPr>
        <w:t>ante</w:t>
      </w:r>
      <w:proofErr w:type="spellEnd"/>
      <w:r w:rsidRPr="00A1156D">
        <w:rPr>
          <w:sz w:val="22"/>
          <w:szCs w:val="22"/>
        </w:rPr>
        <w:t xml:space="preserve"> finančnú opravu a Poskytovateľ zníži oprávnenú sumu v predloženej </w:t>
      </w:r>
      <w:proofErr w:type="spellStart"/>
      <w:r w:rsidR="006D5DEB" w:rsidRPr="00A1156D">
        <w:t>Ž</w:t>
      </w:r>
      <w:r w:rsidR="006D5DEB">
        <w:t>oP</w:t>
      </w:r>
      <w:proofErr w:type="spellEnd"/>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proofErr w:type="spellStart"/>
      <w:r w:rsidR="0020253F">
        <w:rPr>
          <w:rFonts w:ascii="Times New Roman" w:hAnsi="Times New Roman"/>
        </w:rPr>
        <w:t>ŽoP</w:t>
      </w:r>
      <w:proofErr w:type="spellEnd"/>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proofErr w:type="spellStart"/>
      <w:r w:rsidR="007D1FA2" w:rsidRPr="00A1156D">
        <w:rPr>
          <w:rFonts w:ascii="Times New Roman" w:hAnsi="Times New Roman"/>
        </w:rPr>
        <w:t>ante</w:t>
      </w:r>
      <w:proofErr w:type="spellEnd"/>
      <w:r w:rsidR="007D1FA2" w:rsidRPr="00A1156D">
        <w:rPr>
          <w:rFonts w:ascii="Times New Roman" w:hAnsi="Times New Roman"/>
        </w:rPr>
        <w:t xml:space="preserv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proofErr w:type="spellStart"/>
      <w:r w:rsidR="00A30090" w:rsidRPr="00A1156D">
        <w:rPr>
          <w:rFonts w:ascii="Times New Roman" w:hAnsi="Times New Roman"/>
        </w:rPr>
        <w:t>ante</w:t>
      </w:r>
      <w:proofErr w:type="spellEnd"/>
      <w:r w:rsidR="00A30090" w:rsidRPr="00A1156D">
        <w:rPr>
          <w:rFonts w:ascii="Times New Roman" w:hAnsi="Times New Roman"/>
        </w:rPr>
        <w:t xml:space="preserve"> </w:t>
      </w:r>
      <w:r w:rsidRPr="00A1156D">
        <w:rPr>
          <w:rFonts w:ascii="Times New Roman" w:hAnsi="Times New Roman"/>
        </w:rPr>
        <w:t>finančnej opravy. Poskytovateľ zohľadní uplatnené výšky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21"/>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finančných opráv alebo počet VO dotknutých ex</w:t>
      </w:r>
      <w:r w:rsidR="0020253F">
        <w:rPr>
          <w:rFonts w:ascii="Times New Roman" w:hAnsi="Times New Roman"/>
        </w:rPr>
        <w:t>-</w:t>
      </w:r>
      <w:proofErr w:type="spellStart"/>
      <w:r w:rsidRPr="00A1156D">
        <w:rPr>
          <w:rFonts w:ascii="Times New Roman" w:hAnsi="Times New Roman"/>
        </w:rPr>
        <w:t>ante</w:t>
      </w:r>
      <w:proofErr w:type="spellEnd"/>
      <w:r w:rsidRPr="00A1156D">
        <w:rPr>
          <w:rFonts w:ascii="Times New Roman" w:hAnsi="Times New Roman"/>
        </w:rPr>
        <w:t xml:space="preserve"> finančnou opravou)</w:t>
      </w:r>
      <w:r w:rsidR="00E322C4" w:rsidRPr="00A1156D">
        <w:rPr>
          <w:rFonts w:ascii="Times New Roman" w:hAnsi="Times New Roman"/>
        </w:rPr>
        <w:t>.</w:t>
      </w:r>
      <w:r w:rsidR="00E322C4" w:rsidRPr="000B7D53">
        <w:rPr>
          <w:rFonts w:ascii="Times New Roman" w:hAnsi="Times New Roman"/>
        </w:rPr>
        <w:commentReference w:id="21"/>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Zoznam porušení pravidiel a postupov obstarávania, spolu s určením percentuálnej výšky finančnej opravy prislúchajúcej konkrétnemu porušeniu, podľa ktorého postupuje Poskytovateľ pri určení finančnej opravy a ex-</w:t>
      </w:r>
      <w:proofErr w:type="spellStart"/>
      <w:r w:rsidRPr="00A1156D">
        <w:rPr>
          <w:rFonts w:ascii="Times New Roman" w:hAnsi="Times New Roman"/>
        </w:rPr>
        <w:t>ante</w:t>
      </w:r>
      <w:proofErr w:type="spellEnd"/>
      <w:r w:rsidRPr="00A1156D">
        <w:rPr>
          <w:rFonts w:ascii="Times New Roman" w:hAnsi="Times New Roman"/>
        </w:rPr>
        <w:t xml:space="preserv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22"/>
      <w:commentRangeStart w:id="23"/>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22"/>
      <w:commentRangeEnd w:id="23"/>
      <w:r w:rsidR="004D357F">
        <w:rPr>
          <w:rStyle w:val="Odkaznakomentr"/>
          <w:rFonts w:ascii="Times New Roman" w:eastAsia="Times New Roman" w:hAnsi="Times New Roman"/>
        </w:rPr>
        <w:commentReference w:id="22"/>
      </w:r>
      <w:r w:rsidR="004D357F">
        <w:rPr>
          <w:rStyle w:val="Odkaznakomentr"/>
          <w:rFonts w:ascii="Times New Roman" w:eastAsia="Times New Roman" w:hAnsi="Times New Roman"/>
        </w:rPr>
        <w:commentReference w:id="23"/>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proofErr w:type="spellStart"/>
      <w:r w:rsidR="00AF36B6" w:rsidRPr="00A1156D">
        <w:rPr>
          <w:rFonts w:ascii="Times New Roman" w:hAnsi="Times New Roman"/>
        </w:rPr>
        <w:t>Ž</w:t>
      </w:r>
      <w:r w:rsidR="004A4309">
        <w:rPr>
          <w:rFonts w:ascii="Times New Roman" w:hAnsi="Times New Roman"/>
        </w:rPr>
        <w:t>oP</w:t>
      </w:r>
      <w:proofErr w:type="spellEnd"/>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w:t>
      </w:r>
      <w:proofErr w:type="spellStart"/>
      <w:r w:rsidRPr="00A1156D">
        <w:rPr>
          <w:rFonts w:ascii="Times New Roman" w:hAnsi="Times New Roman"/>
        </w:rPr>
        <w:t>predfinancovania</w:t>
      </w:r>
      <w:proofErr w:type="spellEnd"/>
      <w:r w:rsidRPr="00A1156D">
        <w:rPr>
          <w:rFonts w:ascii="Times New Roman" w:hAnsi="Times New Roman"/>
        </w:rPr>
        <w:t xml:space="preserve"> </w:t>
      </w:r>
      <w:r w:rsidR="00C56DCD">
        <w:rPr>
          <w:rFonts w:ascii="Times New Roman" w:hAnsi="Times New Roman"/>
        </w:rPr>
        <w:t>d</w:t>
      </w:r>
      <w:r w:rsidRPr="00A1156D">
        <w:rPr>
          <w:rFonts w:ascii="Times New Roman" w:hAnsi="Times New Roman"/>
        </w:rPr>
        <w:t>oplňujúce monitorovacie údaje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 xml:space="preserve">Prijímateľ je povinný predložiť za monitorované obdobie, ktoré sa týka roku, v ktorom bola ukončená Realizácia aktivít Projektu, iba monitorovaciu správu s príznakom "záverečná"", </w:t>
      </w:r>
      <w:proofErr w:type="spellStart"/>
      <w:r w:rsidR="000A1C22" w:rsidRPr="009C012E">
        <w:rPr>
          <w:rFonts w:ascii="Times New Roman" w:hAnsi="Times New Roman"/>
        </w:rPr>
        <w:t>t.j</w:t>
      </w:r>
      <w:proofErr w:type="spellEnd"/>
      <w:r w:rsidR="000A1C22" w:rsidRPr="009C012E">
        <w:rPr>
          <w:rFonts w:ascii="Times New Roman" w:hAnsi="Times New Roman"/>
        </w:rPr>
        <w:t>.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24"/>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 xml:space="preserve">v inom termíne uvedenom v Príručke pre Prijímateľa, najneskôr však spolu s podaním </w:t>
      </w:r>
      <w:proofErr w:type="spellStart"/>
      <w:r w:rsidR="009E055A" w:rsidRPr="00A1156D">
        <w:rPr>
          <w:rFonts w:ascii="Times New Roman" w:hAnsi="Times New Roman"/>
        </w:rPr>
        <w:t>Ž</w:t>
      </w:r>
      <w:r w:rsidR="004A4309">
        <w:rPr>
          <w:rFonts w:ascii="Times New Roman" w:hAnsi="Times New Roman"/>
        </w:rPr>
        <w:t>oP</w:t>
      </w:r>
      <w:proofErr w:type="spellEnd"/>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24"/>
      <w:r w:rsidR="00635BEC">
        <w:rPr>
          <w:rStyle w:val="Odkaznakomentr"/>
          <w:rFonts w:ascii="Times New Roman" w:eastAsia="Times New Roman" w:hAnsi="Times New Roman"/>
        </w:rPr>
        <w:commentReference w:id="24"/>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5"/>
      <w:r w:rsidRPr="00A1156D">
        <w:rPr>
          <w:rFonts w:ascii="Times New Roman" w:hAnsi="Times New Roman"/>
        </w:rPr>
        <w:t>konania</w:t>
      </w:r>
      <w:commentRangeEnd w:id="25"/>
      <w:r w:rsidR="004A4309">
        <w:rPr>
          <w:rStyle w:val="Odkaznakomentr"/>
          <w:rFonts w:ascii="Times New Roman" w:eastAsia="Times New Roman" w:hAnsi="Times New Roman"/>
        </w:rPr>
        <w:commentReference w:id="25"/>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w:t>
      </w:r>
      <w:proofErr w:type="spellStart"/>
      <w:r w:rsidR="009F6941" w:rsidRPr="00A1156D">
        <w:rPr>
          <w:rFonts w:ascii="Times New Roman" w:hAnsi="Times New Roman"/>
        </w:rPr>
        <w:t>Ž</w:t>
      </w:r>
      <w:r w:rsidR="00BE7440">
        <w:rPr>
          <w:rFonts w:ascii="Times New Roman" w:hAnsi="Times New Roman"/>
        </w:rPr>
        <w:t>oP</w:t>
      </w:r>
      <w:proofErr w:type="spellEnd"/>
      <w:r w:rsidR="00BE7440">
        <w:rPr>
          <w:rFonts w:ascii="Times New Roman" w:hAnsi="Times New Roman"/>
        </w:rPr>
        <w:t xml:space="preserve"> </w:t>
      </w:r>
      <w:r w:rsidR="009F6941" w:rsidRPr="00A1156D">
        <w:rPr>
          <w:rFonts w:ascii="Times New Roman" w:hAnsi="Times New Roman"/>
        </w:rPr>
        <w:t xml:space="preserve">musí byť vykonávaná spolu s kontrolou </w:t>
      </w:r>
      <w:proofErr w:type="spellStart"/>
      <w:r w:rsidR="009F6941" w:rsidRPr="00A1156D">
        <w:rPr>
          <w:rFonts w:ascii="Times New Roman" w:hAnsi="Times New Roman"/>
        </w:rPr>
        <w:t>Ž</w:t>
      </w:r>
      <w:r w:rsidR="00BE7440">
        <w:rPr>
          <w:rFonts w:ascii="Times New Roman" w:hAnsi="Times New Roman"/>
        </w:rPr>
        <w:t>oP</w:t>
      </w:r>
      <w:proofErr w:type="spellEnd"/>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26"/>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26"/>
      <w:r w:rsidR="00250D74">
        <w:rPr>
          <w:rStyle w:val="Odkaznakomentr"/>
          <w:rFonts w:ascii="Times New Roman" w:eastAsia="Times New Roman" w:hAnsi="Times New Roman"/>
        </w:rPr>
        <w:commentReference w:id="26"/>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7"/>
      <w:r w:rsidRPr="00A1156D">
        <w:rPr>
          <w:rFonts w:ascii="Times New Roman" w:hAnsi="Times New Roman"/>
        </w:rPr>
        <w:t>nie však neskôr ako v lehote určenej Poskytovateľom</w:t>
      </w:r>
      <w:r w:rsidR="00C53921" w:rsidRPr="00A1156D">
        <w:rPr>
          <w:rFonts w:ascii="Times New Roman" w:hAnsi="Times New Roman"/>
        </w:rPr>
        <w:t>.</w:t>
      </w:r>
      <w:commentRangeEnd w:id="27"/>
      <w:r w:rsidR="00E450A7">
        <w:rPr>
          <w:rStyle w:val="Odkaznakomentr"/>
          <w:rFonts w:ascii="Times New Roman" w:eastAsia="Times New Roman" w:hAnsi="Times New Roman"/>
        </w:rPr>
        <w:commentReference w:id="27"/>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proofErr w:type="spellStart"/>
      <w:r w:rsidRPr="00A1156D">
        <w:rPr>
          <w:rFonts w:ascii="Times New Roman" w:hAnsi="Times New Roman"/>
          <w:lang w:val="pl-PL"/>
        </w:rPr>
        <w:t>Dočasný</w:t>
      </w:r>
      <w:proofErr w:type="spellEnd"/>
      <w:r w:rsidRPr="00A1156D">
        <w:rPr>
          <w:rFonts w:ascii="Times New Roman" w:hAnsi="Times New Roman"/>
          <w:lang w:val="pl-PL"/>
        </w:rPr>
        <w:t xml:space="preserve"> </w:t>
      </w:r>
      <w:proofErr w:type="spellStart"/>
      <w:r w:rsidRPr="00A1156D">
        <w:rPr>
          <w:rFonts w:ascii="Times New Roman" w:hAnsi="Times New Roman"/>
          <w:lang w:val="pl-PL"/>
        </w:rPr>
        <w:t>pútač</w:t>
      </w:r>
      <w:proofErr w:type="spellEnd"/>
      <w:r w:rsidRPr="00A1156D">
        <w:rPr>
          <w:rFonts w:ascii="Times New Roman" w:hAnsi="Times New Roman"/>
          <w:lang w:val="pl-PL"/>
        </w:rPr>
        <w:t xml:space="preserve">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dostatočne</w:t>
      </w:r>
      <w:proofErr w:type="spellEnd"/>
      <w:r w:rsidRPr="00A1156D">
        <w:rPr>
          <w:rFonts w:ascii="Times New Roman" w:hAnsi="Times New Roman"/>
          <w:lang w:val="pl-PL"/>
        </w:rPr>
        <w:t xml:space="preserve"> </w:t>
      </w:r>
      <w:commentRangeStart w:id="28"/>
      <w:proofErr w:type="spellStart"/>
      <w:r w:rsidRPr="00A1156D">
        <w:rPr>
          <w:rFonts w:ascii="Times New Roman" w:hAnsi="Times New Roman"/>
          <w:lang w:val="pl-PL"/>
        </w:rPr>
        <w:t>veľký</w:t>
      </w:r>
      <w:commentRangeEnd w:id="28"/>
      <w:proofErr w:type="spellEnd"/>
      <w:r w:rsidR="002D1DFA">
        <w:rPr>
          <w:rStyle w:val="Odkaznakomentr"/>
          <w:rFonts w:ascii="Times New Roman" w:eastAsia="Times New Roman" w:hAnsi="Times New Roman"/>
        </w:rPr>
        <w:commentReference w:id="28"/>
      </w:r>
      <w:r w:rsidRPr="00A1156D">
        <w:rPr>
          <w:rFonts w:ascii="Times New Roman" w:hAnsi="Times New Roman"/>
          <w:lang w:val="pl-PL"/>
        </w:rPr>
        <w:t xml:space="preserve"> a </w:t>
      </w:r>
      <w:proofErr w:type="spellStart"/>
      <w:r w:rsidRPr="00A1156D">
        <w:rPr>
          <w:rFonts w:ascii="Times New Roman" w:hAnsi="Times New Roman"/>
          <w:lang w:val="pl-PL"/>
        </w:rPr>
        <w:t>musí</w:t>
      </w:r>
      <w:proofErr w:type="spellEnd"/>
      <w:r w:rsidRPr="00A1156D">
        <w:rPr>
          <w:rFonts w:ascii="Times New Roman" w:hAnsi="Times New Roman"/>
          <w:lang w:val="pl-PL"/>
        </w:rPr>
        <w:t xml:space="preserve"> </w:t>
      </w:r>
      <w:proofErr w:type="spellStart"/>
      <w:r w:rsidRPr="00A1156D">
        <w:rPr>
          <w:rFonts w:ascii="Times New Roman" w:hAnsi="Times New Roman"/>
          <w:lang w:val="pl-PL"/>
        </w:rPr>
        <w:t>byť</w:t>
      </w:r>
      <w:proofErr w:type="spellEnd"/>
      <w:r w:rsidRPr="00A1156D">
        <w:rPr>
          <w:rFonts w:ascii="Times New Roman" w:hAnsi="Times New Roman"/>
          <w:lang w:val="pl-PL"/>
        </w:rPr>
        <w:t xml:space="preserve"> </w:t>
      </w:r>
      <w:proofErr w:type="spellStart"/>
      <w:r w:rsidRPr="00A1156D">
        <w:rPr>
          <w:rFonts w:ascii="Times New Roman" w:hAnsi="Times New Roman"/>
          <w:lang w:val="pl-PL"/>
        </w:rPr>
        <w:t>umiestnený</w:t>
      </w:r>
      <w:proofErr w:type="spellEnd"/>
      <w:r w:rsidRPr="00A1156D">
        <w:rPr>
          <w:rFonts w:ascii="Times New Roman" w:hAnsi="Times New Roman"/>
          <w:lang w:val="pl-PL"/>
        </w:rPr>
        <w:t xml:space="preserve"> na </w:t>
      </w:r>
      <w:proofErr w:type="spellStart"/>
      <w:r w:rsidRPr="00A1156D">
        <w:rPr>
          <w:rFonts w:ascii="Times New Roman" w:hAnsi="Times New Roman"/>
          <w:lang w:val="pl-PL"/>
        </w:rPr>
        <w:t>mieste</w:t>
      </w:r>
      <w:proofErr w:type="spellEnd"/>
      <w:r w:rsidRPr="00A1156D">
        <w:rPr>
          <w:rFonts w:ascii="Times New Roman" w:hAnsi="Times New Roman"/>
          <w:lang w:val="pl-PL"/>
        </w:rPr>
        <w:t xml:space="preserve"> </w:t>
      </w:r>
      <w:proofErr w:type="spellStart"/>
      <w:r w:rsidRPr="00A1156D">
        <w:rPr>
          <w:rFonts w:ascii="Times New Roman" w:hAnsi="Times New Roman"/>
          <w:lang w:val="pl-PL"/>
        </w:rPr>
        <w:t>ľahko</w:t>
      </w:r>
      <w:proofErr w:type="spellEnd"/>
      <w:r w:rsidRPr="00A1156D">
        <w:rPr>
          <w:rFonts w:ascii="Times New Roman" w:hAnsi="Times New Roman"/>
          <w:lang w:val="pl-PL"/>
        </w:rPr>
        <w:t xml:space="preserve"> </w:t>
      </w:r>
      <w:proofErr w:type="spellStart"/>
      <w:r w:rsidRPr="00A1156D">
        <w:rPr>
          <w:rFonts w:ascii="Times New Roman" w:hAnsi="Times New Roman"/>
          <w:lang w:val="pl-PL"/>
        </w:rPr>
        <w:t>viditeľnom</w:t>
      </w:r>
      <w:proofErr w:type="spellEnd"/>
      <w:r w:rsidRPr="00A1156D">
        <w:rPr>
          <w:rFonts w:ascii="Times New Roman" w:hAnsi="Times New Roman"/>
          <w:lang w:val="pl-PL"/>
        </w:rPr>
        <w:t xml:space="preserve"> </w:t>
      </w:r>
      <w:proofErr w:type="spellStart"/>
      <w:r w:rsidRPr="00A1156D">
        <w:rPr>
          <w:rFonts w:ascii="Times New Roman" w:hAnsi="Times New Roman"/>
          <w:lang w:val="pl-PL"/>
        </w:rPr>
        <w:t>verejnosťou</w:t>
      </w:r>
      <w:proofErr w:type="spellEnd"/>
      <w:r w:rsidRPr="00A1156D">
        <w:rPr>
          <w:rFonts w:ascii="Times New Roman" w:hAnsi="Times New Roman"/>
          <w:lang w:val="pl-PL"/>
        </w:rPr>
        <w:t>.</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9"/>
      <w:r w:rsidRPr="00A1156D">
        <w:rPr>
          <w:rFonts w:ascii="Times New Roman" w:hAnsi="Times New Roman"/>
          <w:sz w:val="22"/>
          <w:szCs w:val="22"/>
        </w:rPr>
        <w:t>VLASTNÍCTVO A POUŽITIE VÝSTUPOV</w:t>
      </w:r>
      <w:commentRangeEnd w:id="29"/>
      <w:r w:rsidR="00800067">
        <w:rPr>
          <w:rStyle w:val="Odkaznakomentr"/>
          <w:rFonts w:ascii="Times New Roman" w:hAnsi="Times New Roman"/>
          <w:b w:val="0"/>
          <w:bCs w:val="0"/>
        </w:rPr>
        <w:commentReference w:id="29"/>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30"/>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30"/>
      <w:r w:rsidR="0055539C" w:rsidRPr="00A1156D">
        <w:rPr>
          <w:rStyle w:val="Odkaznakomentr"/>
          <w:rFonts w:ascii="Times New Roman" w:eastAsia="Times New Roman" w:hAnsi="Times New Roman"/>
          <w:sz w:val="22"/>
          <w:szCs w:val="22"/>
        </w:rPr>
        <w:commentReference w:id="30"/>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 xml:space="preserve">u seba ako </w:t>
      </w:r>
      <w:proofErr w:type="spellStart"/>
      <w:r w:rsidR="00ED3D33" w:rsidRPr="00A1156D">
        <w:rPr>
          <w:rFonts w:ascii="Times New Roman" w:hAnsi="Times New Roman"/>
          <w:bCs/>
        </w:rPr>
        <w:t>detentor</w:t>
      </w:r>
      <w:proofErr w:type="spellEnd"/>
      <w:r w:rsidR="00ED3D33" w:rsidRPr="00A1156D">
        <w:rPr>
          <w:rFonts w:ascii="Times New Roman" w:hAnsi="Times New Roman"/>
          <w:bCs/>
        </w:rPr>
        <w:t>,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31"/>
      <w:r w:rsidRPr="00A1156D">
        <w:rPr>
          <w:rFonts w:ascii="Times New Roman" w:hAnsi="Times New Roman"/>
          <w:bCs/>
        </w:rPr>
        <w:t>vytvorenie alebo zabezpečenie vytvorenia diela alebo iného práva duševného vlastníctva (vrátane priemyselného vlastníctva) pre Projekt</w:t>
      </w:r>
      <w:commentRangeEnd w:id="31"/>
      <w:r w:rsidR="00EE1A37" w:rsidRPr="00A1156D">
        <w:rPr>
          <w:rStyle w:val="Odkaznakomentr"/>
          <w:rFonts w:ascii="Times New Roman" w:hAnsi="Times New Roman"/>
          <w:sz w:val="22"/>
          <w:szCs w:val="22"/>
        </w:rPr>
        <w:commentReference w:id="31"/>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w:t>
      </w:r>
      <w:proofErr w:type="spellStart"/>
      <w:r w:rsidR="00F30359" w:rsidRPr="00A1156D">
        <w:rPr>
          <w:rFonts w:ascii="Times New Roman" w:hAnsi="Times New Roman"/>
        </w:rPr>
        <w:t>nasl</w:t>
      </w:r>
      <w:proofErr w:type="spellEnd"/>
      <w:r w:rsidR="00F30359" w:rsidRPr="00A1156D">
        <w:rPr>
          <w:rFonts w:ascii="Times New Roman" w:hAnsi="Times New Roman"/>
        </w:rPr>
        <w:t xml:space="preserve">.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w:t>
      </w:r>
      <w:proofErr w:type="spellStart"/>
      <w:r w:rsidR="002166C9" w:rsidRPr="00A1156D">
        <w:rPr>
          <w:rFonts w:ascii="Times New Roman" w:hAnsi="Times New Roman"/>
          <w:bCs/>
        </w:rPr>
        <w:t>nasl</w:t>
      </w:r>
      <w:proofErr w:type="spellEnd"/>
      <w:r w:rsidR="002166C9" w:rsidRPr="00A1156D">
        <w:rPr>
          <w:rFonts w:ascii="Times New Roman" w:hAnsi="Times New Roman"/>
          <w:bCs/>
        </w:rPr>
        <w:t>.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w:t>
      </w:r>
      <w:proofErr w:type="spellStart"/>
      <w:r w:rsidR="00107570" w:rsidRPr="00607648">
        <w:rPr>
          <w:bCs/>
        </w:rPr>
        <w:t>t.j</w:t>
      </w:r>
      <w:proofErr w:type="spellEnd"/>
      <w:r w:rsidR="00107570" w:rsidRPr="00607648">
        <w:rPr>
          <w:bCs/>
        </w:rPr>
        <w:t xml:space="preserve">.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 xml:space="preserve">te počíta odo dňa splatnosti </w:t>
      </w:r>
      <w:proofErr w:type="spellStart"/>
      <w:r w:rsidR="00884F67" w:rsidRPr="00A1156D">
        <w:rPr>
          <w:rFonts w:ascii="Times New Roman" w:hAnsi="Times New Roman"/>
          <w:bCs/>
          <w:lang w:eastAsia="sk-SK"/>
        </w:rPr>
        <w:t>ŽoP</w:t>
      </w:r>
      <w:proofErr w:type="spellEnd"/>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w:t>
      </w:r>
      <w:proofErr w:type="spellStart"/>
      <w:r w:rsidRPr="00A1156D">
        <w:rPr>
          <w:rFonts w:ascii="Times New Roman" w:hAnsi="Times New Roman"/>
          <w:bCs/>
          <w:lang w:eastAsia="sk-SK"/>
        </w:rPr>
        <w:t>ŽoP</w:t>
      </w:r>
      <w:proofErr w:type="spellEnd"/>
      <w:r w:rsidRPr="00A1156D">
        <w:rPr>
          <w:rFonts w:ascii="Times New Roman" w:hAnsi="Times New Roman"/>
          <w:bCs/>
          <w:lang w:eastAsia="sk-SK"/>
        </w:rPr>
        <w:t>;</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w:t>
      </w:r>
      <w:proofErr w:type="spellStart"/>
      <w:r w:rsidR="00EA681A" w:rsidRPr="00A1156D">
        <w:rPr>
          <w:rFonts w:ascii="Times New Roman" w:hAnsi="Times New Roman"/>
          <w:bCs/>
          <w:lang w:eastAsia="sk-SK"/>
        </w:rPr>
        <w:t>ŽoP</w:t>
      </w:r>
      <w:proofErr w:type="spellEnd"/>
      <w:r w:rsidR="00EA681A" w:rsidRPr="00A1156D">
        <w:rPr>
          <w:rFonts w:ascii="Times New Roman" w:hAnsi="Times New Roman"/>
          <w:bCs/>
          <w:lang w:eastAsia="sk-SK"/>
        </w:rPr>
        <w:t xml:space="preserve">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w:t>
      </w:r>
      <w:proofErr w:type="spellStart"/>
      <w:r w:rsidRPr="00A1156D">
        <w:rPr>
          <w:rFonts w:ascii="Times New Roman" w:hAnsi="Times New Roman"/>
          <w:bCs/>
        </w:rPr>
        <w:t>ŽoP</w:t>
      </w:r>
      <w:proofErr w:type="spellEnd"/>
      <w:r w:rsidRPr="00A1156D">
        <w:rPr>
          <w:rFonts w:ascii="Times New Roman" w:hAnsi="Times New Roman"/>
          <w:bCs/>
        </w:rPr>
        <w:t xml:space="preserve">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proofErr w:type="spellStart"/>
      <w:r w:rsidR="00EA681A" w:rsidRPr="00A1156D">
        <w:rPr>
          <w:rFonts w:ascii="Times New Roman" w:hAnsi="Times New Roman"/>
          <w:bCs/>
        </w:rPr>
        <w:t>ne</w:t>
      </w:r>
      <w:proofErr w:type="spellEnd"/>
      <w:r w:rsidR="00EA681A" w:rsidRPr="00A1156D">
        <w:rPr>
          <w:rFonts w:ascii="Times New Roman" w:hAnsi="Times New Roman"/>
          <w:bCs/>
        </w:rPr>
        <w:t>/</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w:t>
      </w:r>
      <w:proofErr w:type="spellStart"/>
      <w:r w:rsidR="009F466D" w:rsidRPr="00A1156D">
        <w:rPr>
          <w:rFonts w:ascii="Times New Roman" w:hAnsi="Times New Roman"/>
          <w:bCs/>
        </w:rPr>
        <w:t>nasl</w:t>
      </w:r>
      <w:proofErr w:type="spellEnd"/>
      <w:r w:rsidR="009F466D" w:rsidRPr="00A1156D">
        <w:rPr>
          <w:rFonts w:ascii="Times New Roman" w:hAnsi="Times New Roman"/>
          <w:bCs/>
        </w:rPr>
        <w:t>.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32"/>
      <w:r w:rsidR="00F40BFB">
        <w:rPr>
          <w:rFonts w:ascii="Times New Roman" w:hAnsi="Times New Roman"/>
        </w:rPr>
        <w:t xml:space="preserve">akceptovaní alebo schválení </w:t>
      </w:r>
      <w:commentRangeEnd w:id="32"/>
      <w:r w:rsidR="00F40BFB">
        <w:rPr>
          <w:rStyle w:val="Odkaznakomentr"/>
          <w:rFonts w:ascii="Times New Roman" w:eastAsia="Times New Roman" w:hAnsi="Times New Roman"/>
          <w:lang w:val="x-none" w:eastAsia="x-none"/>
        </w:rPr>
        <w:commentReference w:id="32"/>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w:t>
      </w:r>
      <w:proofErr w:type="spellStart"/>
      <w:r w:rsidRPr="00A1156D">
        <w:rPr>
          <w:rFonts w:ascii="Times New Roman" w:hAnsi="Times New Roman"/>
          <w:bCs/>
        </w:rPr>
        <w:t>kolúzie</w:t>
      </w:r>
      <w:proofErr w:type="spellEnd"/>
      <w:r w:rsidRPr="00A1156D">
        <w:rPr>
          <w:rFonts w:ascii="Times New Roman" w:hAnsi="Times New Roman"/>
          <w:bCs/>
        </w:rPr>
        <w:t xml:space="preserv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3"/>
      <w:r w:rsidRPr="00A1156D">
        <w:rPr>
          <w:rFonts w:ascii="Times New Roman" w:hAnsi="Times New Roman"/>
          <w:bCs/>
        </w:rPr>
        <w:t xml:space="preserve">od nadobudnutia účinnosti Zmluvy o poskytnutí NFP </w:t>
      </w:r>
      <w:commentRangeEnd w:id="33"/>
      <w:r w:rsidR="00117A61" w:rsidRPr="00A1156D">
        <w:rPr>
          <w:rStyle w:val="Odkaznakomentr"/>
          <w:rFonts w:ascii="Times New Roman" w:hAnsi="Times New Roman"/>
          <w:sz w:val="22"/>
          <w:szCs w:val="22"/>
        </w:rPr>
        <w:commentReference w:id="33"/>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w:t>
      </w:r>
      <w:proofErr w:type="spellStart"/>
      <w:r w:rsidRPr="00A1156D">
        <w:rPr>
          <w:rFonts w:ascii="Times New Roman" w:hAnsi="Times New Roman"/>
        </w:rPr>
        <w:t>vo</w:t>
      </w:r>
      <w:proofErr w:type="spellEnd"/>
      <w:r w:rsidRPr="00A1156D">
        <w:rPr>
          <w:rFonts w:ascii="Times New Roman" w:hAnsi="Times New Roman"/>
        </w:rPr>
        <w:t xml:space="preserve">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opakované nepredloženie </w:t>
      </w:r>
      <w:proofErr w:type="spellStart"/>
      <w:r w:rsidRPr="00A1156D">
        <w:rPr>
          <w:rFonts w:ascii="Times New Roman" w:hAnsi="Times New Roman"/>
          <w:bCs/>
        </w:rPr>
        <w:t>Ž</w:t>
      </w:r>
      <w:r w:rsidR="00B2335C">
        <w:rPr>
          <w:rFonts w:ascii="Times New Roman" w:hAnsi="Times New Roman"/>
          <w:bCs/>
        </w:rPr>
        <w:t>oP</w:t>
      </w:r>
      <w:proofErr w:type="spellEnd"/>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w:t>
      </w:r>
      <w:proofErr w:type="spellStart"/>
      <w:r w:rsidRPr="00A1156D">
        <w:rPr>
          <w:sz w:val="22"/>
          <w:szCs w:val="22"/>
        </w:rPr>
        <w:t>predfinancovania</w:t>
      </w:r>
      <w:proofErr w:type="spellEnd"/>
      <w:r w:rsidRPr="00A1156D">
        <w:rPr>
          <w:sz w:val="22"/>
          <w:szCs w:val="22"/>
        </w:rPr>
        <w:t xml:space="preserve">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w:t>
      </w:r>
      <w:proofErr w:type="spellStart"/>
      <w:r w:rsidRPr="00A1156D">
        <w:rPr>
          <w:sz w:val="22"/>
          <w:szCs w:val="22"/>
        </w:rPr>
        <w:t>predfinancovaní</w:t>
      </w:r>
      <w:proofErr w:type="spellEnd"/>
      <w:r w:rsidRPr="00A1156D">
        <w:rPr>
          <w:sz w:val="22"/>
          <w:szCs w:val="22"/>
        </w:rPr>
        <w:t xml:space="preserve">,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A1156D">
        <w:rPr>
          <w:sz w:val="22"/>
          <w:szCs w:val="22"/>
        </w:rPr>
        <w:t>predfinancovaní</w:t>
      </w:r>
      <w:proofErr w:type="spellEnd"/>
      <w:r w:rsidRPr="00A1156D">
        <w:rPr>
          <w:sz w:val="22"/>
          <w:szCs w:val="22"/>
        </w:rPr>
        <w:t xml:space="preserve">,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4"/>
      <w:commentRangeEnd w:id="34"/>
      <w:r>
        <w:rPr>
          <w:rStyle w:val="Odkaznakomentr"/>
          <w:rFonts w:eastAsia="Times New Roman"/>
          <w:lang w:eastAsia="en-US"/>
        </w:rPr>
        <w:commentReference w:id="34"/>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5"/>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5"/>
      <w:r w:rsidRPr="00A1156D">
        <w:rPr>
          <w:rStyle w:val="Odkaznakomentr"/>
          <w:sz w:val="22"/>
          <w:szCs w:val="22"/>
        </w:rPr>
        <w:commentReference w:id="35"/>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ktorú zašle Prijímateľovi aj elektronicky prostredníctvom ITMS2014+. </w:t>
      </w:r>
      <w:r w:rsidR="00867309" w:rsidRPr="00A1156D">
        <w:rPr>
          <w:rFonts w:ascii="Times New Roman" w:hAnsi="Times New Roman"/>
          <w:lang w:eastAsia="sk-SK"/>
        </w:rPr>
        <w:t xml:space="preserve">K záväznému uplatneniu nároku Poskytovateľa na vrátenie NFP alebo jeho časti na základe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dochádza zverejnením </w:t>
      </w:r>
      <w:proofErr w:type="spellStart"/>
      <w:r w:rsidR="00867309" w:rsidRPr="00A1156D">
        <w:rPr>
          <w:rFonts w:ascii="Times New Roman" w:hAnsi="Times New Roman"/>
          <w:lang w:eastAsia="sk-SK"/>
        </w:rPr>
        <w:t>ŽoV</w:t>
      </w:r>
      <w:proofErr w:type="spellEnd"/>
      <w:r w:rsidR="00867309" w:rsidRPr="00A1156D">
        <w:rPr>
          <w:rFonts w:ascii="Times New Roman" w:hAnsi="Times New Roman"/>
          <w:lang w:eastAsia="sk-SK"/>
        </w:rPr>
        <w:t xml:space="preserve">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w:t>
      </w:r>
      <w:proofErr w:type="spellStart"/>
      <w:r w:rsidR="0021125C" w:rsidRPr="00A1156D">
        <w:rPr>
          <w:rFonts w:ascii="Times New Roman" w:hAnsi="Times New Roman"/>
          <w:lang w:eastAsia="sk-SK"/>
        </w:rPr>
        <w:t>ŽoV</w:t>
      </w:r>
      <w:proofErr w:type="spellEnd"/>
      <w:r w:rsidR="0021125C" w:rsidRPr="00A1156D">
        <w:rPr>
          <w:rFonts w:ascii="Times New Roman" w:hAnsi="Times New Roman"/>
          <w:lang w:eastAsia="sk-SK"/>
        </w:rPr>
        <w:t xml:space="preserve">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xml:space="preserv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w:t>
      </w:r>
      <w:proofErr w:type="spellStart"/>
      <w:r w:rsidRPr="00A1156D">
        <w:rPr>
          <w:rFonts w:ascii="Times New Roman" w:hAnsi="Times New Roman"/>
        </w:rPr>
        <w:t>ŽoV</w:t>
      </w:r>
      <w:proofErr w:type="spellEnd"/>
      <w:r w:rsidRPr="00A1156D">
        <w:rPr>
          <w:rFonts w:ascii="Times New Roman" w:hAnsi="Times New Roman"/>
        </w:rPr>
        <w:t xml:space="preserve">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w:t>
      </w:r>
      <w:proofErr w:type="spellStart"/>
      <w:r w:rsidRPr="00A1156D">
        <w:rPr>
          <w:rFonts w:ascii="Times New Roman" w:hAnsi="Times New Roman"/>
        </w:rPr>
        <w:t>ŽoV</w:t>
      </w:r>
      <w:proofErr w:type="spellEnd"/>
      <w:r w:rsidRPr="00A1156D">
        <w:rPr>
          <w:rFonts w:ascii="Times New Roman" w:hAnsi="Times New Roman"/>
        </w:rPr>
        <w:t xml:space="preserve"> Prijímateľovi vo verejnej časti ITMS2014+. Deň doručenia vo verejnej časti ITMS2014+ je totožný s dňom prechodu </w:t>
      </w:r>
      <w:proofErr w:type="spellStart"/>
      <w:r w:rsidRPr="00A1156D">
        <w:rPr>
          <w:rFonts w:ascii="Times New Roman" w:hAnsi="Times New Roman"/>
        </w:rPr>
        <w:t>ŽoV</w:t>
      </w:r>
      <w:proofErr w:type="spellEnd"/>
      <w:r w:rsidRPr="00A1156D">
        <w:rPr>
          <w:rFonts w:ascii="Times New Roman" w:hAnsi="Times New Roman"/>
        </w:rPr>
        <w:t xml:space="preserve"> do stavu „Odoslaný dlžníkovi“ v systéme ITMS2014+. Dňom nasledujúcim po dni sprístupnenia </w:t>
      </w:r>
      <w:proofErr w:type="spellStart"/>
      <w:r w:rsidRPr="00A1156D">
        <w:rPr>
          <w:rFonts w:ascii="Times New Roman" w:hAnsi="Times New Roman"/>
        </w:rPr>
        <w:t>ŽoV</w:t>
      </w:r>
      <w:proofErr w:type="spellEnd"/>
      <w:r w:rsidRPr="00A1156D">
        <w:rPr>
          <w:rFonts w:ascii="Times New Roman" w:hAnsi="Times New Roman"/>
        </w:rPr>
        <w:t xml:space="preserve">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w:t>
      </w:r>
      <w:proofErr w:type="spellStart"/>
      <w:r w:rsidR="006D5DEB">
        <w:rPr>
          <w:rFonts w:ascii="Times New Roman" w:hAnsi="Times New Roman"/>
          <w:lang w:eastAsia="sk-SK"/>
        </w:rPr>
        <w:t>Z.z</w:t>
      </w:r>
      <w:proofErr w:type="spellEnd"/>
      <w:r w:rsidR="006D5DEB">
        <w:rPr>
          <w:rFonts w:ascii="Times New Roman" w:hAnsi="Times New Roman"/>
          <w:lang w:eastAsia="sk-SK"/>
        </w:rPr>
        <w:t xml:space="preserve">.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w:t>
      </w:r>
      <w:proofErr w:type="spellStart"/>
      <w:r w:rsidR="0018090D" w:rsidRPr="00A1156D">
        <w:rPr>
          <w:rFonts w:ascii="Times New Roman" w:hAnsi="Times New Roman"/>
          <w:lang w:eastAsia="sk-SK"/>
        </w:rPr>
        <w:t>ŽoV</w:t>
      </w:r>
      <w:proofErr w:type="spellEnd"/>
      <w:r w:rsidR="0018090D" w:rsidRPr="00A1156D">
        <w:rPr>
          <w:rFonts w:ascii="Times New Roman" w:hAnsi="Times New Roman"/>
          <w:lang w:eastAsia="sk-SK"/>
        </w:rPr>
        <w:t xml:space="preserve">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6"/>
      <w:commentRangeEnd w:id="36"/>
      <w:r>
        <w:rPr>
          <w:rStyle w:val="Odkaznakomentr"/>
          <w:rFonts w:ascii="Times New Roman" w:eastAsia="Times New Roman" w:hAnsi="Times New Roman"/>
        </w:rPr>
        <w:commentReference w:id="36"/>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proofErr w:type="spellStart"/>
      <w:r w:rsidRPr="00A1156D">
        <w:rPr>
          <w:rFonts w:ascii="Times New Roman" w:hAnsi="Times New Roman"/>
          <w:lang w:eastAsia="sk-SK"/>
        </w:rPr>
        <w:t>ŽoV</w:t>
      </w:r>
      <w:proofErr w:type="spellEnd"/>
      <w:r w:rsidRPr="00A1156D">
        <w:rPr>
          <w:rFonts w:ascii="Times New Roman" w:hAnsi="Times New Roman"/>
          <w:lang w:eastAsia="sk-SK"/>
        </w:rPr>
        <w:t xml:space="preserve">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w:t>
      </w:r>
      <w:proofErr w:type="spellStart"/>
      <w:r w:rsidRPr="00A1156D">
        <w:rPr>
          <w:rFonts w:ascii="Times New Roman" w:hAnsi="Times New Roman"/>
          <w:lang w:eastAsia="sk-SK"/>
        </w:rPr>
        <w:t>nevysporiadané</w:t>
      </w:r>
      <w:proofErr w:type="spellEnd"/>
      <w:r w:rsidRPr="00A1156D">
        <w:rPr>
          <w:rFonts w:ascii="Times New Roman" w:hAnsi="Times New Roman"/>
          <w:lang w:eastAsia="sk-SK"/>
        </w:rPr>
        <w:t xml:space="preserve">.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 xml:space="preserve">ákona o príspevku z EŠIF, inak platí 60-dňová lehota splatnosti na vrátenie NFP alebo jeho časti. Začiatok plynutia 120-dňovej lehoty je totožný s dňom sprístupnenia </w:t>
      </w:r>
      <w:proofErr w:type="spellStart"/>
      <w:r w:rsidRPr="00911DA1">
        <w:rPr>
          <w:rFonts w:ascii="Times New Roman" w:hAnsi="Times New Roman"/>
          <w:bCs/>
        </w:rPr>
        <w:t>ŽoV</w:t>
      </w:r>
      <w:proofErr w:type="spellEnd"/>
      <w:r w:rsidRPr="00911DA1">
        <w:rPr>
          <w:rFonts w:ascii="Times New Roman" w:hAnsi="Times New Roman"/>
          <w:bCs/>
        </w:rPr>
        <w:t xml:space="preserve">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7"/>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7"/>
      <w:r w:rsidRPr="000B7D53">
        <w:rPr>
          <w:rStyle w:val="Odkaznakomentr"/>
          <w:rFonts w:ascii="Times New Roman" w:eastAsia="Times New Roman" w:hAnsi="Times New Roman"/>
          <w:sz w:val="22"/>
          <w:szCs w:val="22"/>
          <w:lang w:val="x-none" w:eastAsia="x-none"/>
        </w:rPr>
        <w:commentReference w:id="37"/>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proofErr w:type="spellStart"/>
      <w:r w:rsidR="006D5DEB" w:rsidRPr="00A1156D">
        <w:t>Ž</w:t>
      </w:r>
      <w:r w:rsidR="006D5DEB">
        <w:t>oP</w:t>
      </w:r>
      <w:proofErr w:type="spellEnd"/>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8"/>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8"/>
      <w:r w:rsidRPr="006055EE">
        <w:rPr>
          <w:rStyle w:val="Odkaznakomentr"/>
          <w:sz w:val="22"/>
          <w:szCs w:val="22"/>
          <w:lang w:val="x-none" w:eastAsia="x-none"/>
        </w:rPr>
        <w:commentReference w:id="38"/>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9"/>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9"/>
      <w:r w:rsidR="00F2106D" w:rsidRPr="00A1156D">
        <w:rPr>
          <w:rStyle w:val="Odkaznakomentr"/>
          <w:rFonts w:ascii="Times New Roman" w:hAnsi="Times New Roman"/>
          <w:sz w:val="22"/>
          <w:szCs w:val="22"/>
        </w:rPr>
        <w:commentReference w:id="39"/>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40"/>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40"/>
      <w:r w:rsidR="00492601">
        <w:rPr>
          <w:rStyle w:val="Odkaznakomentr"/>
          <w:rFonts w:ascii="Times New Roman" w:eastAsia="Times New Roman" w:hAnsi="Times New Roman"/>
        </w:rPr>
        <w:commentReference w:id="40"/>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w:t>
      </w:r>
      <w:proofErr w:type="spellStart"/>
      <w:r w:rsidRPr="00A1156D">
        <w:rPr>
          <w:rFonts w:ascii="Times New Roman" w:hAnsi="Times New Roman"/>
          <w:lang w:eastAsia="sk-SK"/>
        </w:rPr>
        <w:t>ŽoV</w:t>
      </w:r>
      <w:proofErr w:type="spellEnd"/>
      <w:r w:rsidRPr="00A1156D">
        <w:rPr>
          <w:rFonts w:ascii="Times New Roman" w:hAnsi="Times New Roman"/>
          <w:lang w:eastAsia="sk-SK"/>
        </w:rPr>
        <w:t>.</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4DE42AD"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41"/>
      <w:r w:rsidRPr="00A1156D">
        <w:rPr>
          <w:rFonts w:ascii="Times New Roman" w:hAnsi="Times New Roman"/>
        </w:rPr>
        <w:t xml:space="preserve">3 mesiacov </w:t>
      </w:r>
      <w:commentRangeEnd w:id="41"/>
      <w:r w:rsidR="000836FA" w:rsidRPr="00A1156D">
        <w:rPr>
          <w:rStyle w:val="Odkaznakomentr"/>
          <w:rFonts w:ascii="Times New Roman" w:eastAsia="Times New Roman" w:hAnsi="Times New Roman"/>
          <w:sz w:val="22"/>
          <w:szCs w:val="22"/>
        </w:rPr>
        <w:commentReference w:id="41"/>
      </w:r>
      <w:r w:rsidRPr="00A1156D">
        <w:rPr>
          <w:rFonts w:ascii="Times New Roman" w:hAnsi="Times New Roman"/>
        </w:rPr>
        <w:t xml:space="preserve">od Ukončenia realizácie hlavných aktivít Projektu alebo do podania záverečnej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2"/>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2"/>
      <w:r w:rsidR="00492601">
        <w:rPr>
          <w:rStyle w:val="Odkaznakomentr"/>
          <w:rFonts w:ascii="Times New Roman" w:eastAsia="Times New Roman" w:hAnsi="Times New Roman"/>
        </w:rPr>
        <w:commentReference w:id="42"/>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3"/>
      <w:r w:rsidRPr="00A1156D">
        <w:rPr>
          <w:rFonts w:ascii="Times New Roman" w:hAnsi="Times New Roman"/>
          <w:bCs/>
        </w:rPr>
        <w:t>ktorý je nový,</w:t>
      </w:r>
      <w:commentRangeEnd w:id="43"/>
      <w:r w:rsidR="00993ADD">
        <w:rPr>
          <w:rStyle w:val="Odkaznakomentr"/>
          <w:rFonts w:ascii="Times New Roman" w:eastAsia="Times New Roman" w:hAnsi="Times New Roman"/>
        </w:rPr>
        <w:commentReference w:id="43"/>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proofErr w:type="spellStart"/>
      <w:r w:rsidR="006B2244" w:rsidRPr="00A1156D">
        <w:rPr>
          <w:rFonts w:ascii="Times New Roman" w:hAnsi="Times New Roman"/>
          <w:bCs/>
        </w:rPr>
        <w:t>ŽoP</w:t>
      </w:r>
      <w:proofErr w:type="spellEnd"/>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proofErr w:type="spellStart"/>
      <w:r w:rsidR="006B2244" w:rsidRPr="00A1156D">
        <w:rPr>
          <w:rFonts w:ascii="Times New Roman" w:hAnsi="Times New Roman"/>
          <w:bCs/>
        </w:rPr>
        <w:t>ŽoP</w:t>
      </w:r>
      <w:proofErr w:type="spellEnd"/>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proofErr w:type="spellStart"/>
      <w:r w:rsidR="00BD1F35" w:rsidRPr="00A1156D">
        <w:rPr>
          <w:rFonts w:ascii="Times New Roman" w:hAnsi="Times New Roman"/>
          <w:bCs/>
        </w:rPr>
        <w:t>Ž</w:t>
      </w:r>
      <w:r w:rsidR="006B2244" w:rsidRPr="00A1156D">
        <w:rPr>
          <w:rFonts w:ascii="Times New Roman" w:hAnsi="Times New Roman"/>
          <w:bCs/>
        </w:rPr>
        <w:t>oP</w:t>
      </w:r>
      <w:proofErr w:type="spellEnd"/>
      <w:r w:rsidRPr="00A1156D">
        <w:rPr>
          <w:rFonts w:ascii="Times New Roman" w:hAnsi="Times New Roman"/>
          <w:bCs/>
        </w:rPr>
        <w:t xml:space="preserve">, ak vo zvyšnej časti bude </w:t>
      </w:r>
      <w:proofErr w:type="spellStart"/>
      <w:r w:rsidRPr="00A1156D">
        <w:rPr>
          <w:rFonts w:ascii="Times New Roman" w:hAnsi="Times New Roman"/>
          <w:bCs/>
        </w:rPr>
        <w:t>Ž</w:t>
      </w:r>
      <w:r w:rsidR="006B2244" w:rsidRPr="00A1156D">
        <w:rPr>
          <w:rFonts w:ascii="Times New Roman" w:hAnsi="Times New Roman"/>
          <w:bCs/>
        </w:rPr>
        <w:t>oP</w:t>
      </w:r>
      <w:proofErr w:type="spellEnd"/>
      <w:r w:rsidR="006B2244" w:rsidRPr="00A1156D">
        <w:rPr>
          <w:rFonts w:ascii="Times New Roman" w:hAnsi="Times New Roman"/>
          <w:bCs/>
        </w:rPr>
        <w:t xml:space="preserve">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môže byť automaticky 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006D5DEB">
        <w:rPr>
          <w:rFonts w:ascii="Times New Roman" w:hAnsi="Times New Roman"/>
          <w:lang w:eastAsia="sk-SK"/>
        </w:rPr>
        <w:t xml:space="preserve"> </w:t>
      </w:r>
      <w:r w:rsidRPr="00A1156D">
        <w:rPr>
          <w:rFonts w:ascii="Times New Roman" w:hAnsi="Times New Roman"/>
          <w:lang w:eastAsia="sk-SK"/>
        </w:rPr>
        <w:t xml:space="preserve">(zúčtovanie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tak v predloženej </w:t>
      </w:r>
      <w:proofErr w:type="spellStart"/>
      <w:r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(poskytnutie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použije kurz banky platný v deň zdaniteľného plnenia uvedený na účtovnom doklade. Následne pri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(zúčtovanie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w:t>
      </w:r>
      <w:proofErr w:type="spellStart"/>
      <w:r w:rsidRPr="00A1156D">
        <w:rPr>
          <w:rFonts w:ascii="Times New Roman" w:hAnsi="Times New Roman"/>
          <w:lang w:eastAsia="sk-SK"/>
        </w:rPr>
        <w:t>predfinancovania</w:t>
      </w:r>
      <w:proofErr w:type="spellEnd"/>
      <w:r w:rsidRPr="00A1156D">
        <w:rPr>
          <w:rFonts w:ascii="Times New Roman" w:hAnsi="Times New Roman"/>
          <w:lang w:eastAsia="sk-SK"/>
        </w:rPr>
        <w:t xml:space="preserve">,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proofErr w:type="spellStart"/>
      <w:r w:rsidR="006D5DEB" w:rsidRPr="00A1156D">
        <w:rPr>
          <w:rFonts w:ascii="Times New Roman" w:hAnsi="Times New Roman"/>
          <w:lang w:eastAsia="sk-SK"/>
        </w:rPr>
        <w:t>Ž</w:t>
      </w:r>
      <w:r w:rsidR="006D5DEB">
        <w:rPr>
          <w:rFonts w:ascii="Times New Roman" w:hAnsi="Times New Roman"/>
          <w:lang w:eastAsia="sk-SK"/>
        </w:rPr>
        <w:t>oP</w:t>
      </w:r>
      <w:proofErr w:type="spellEnd"/>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A1156D">
        <w:rPr>
          <w:rFonts w:ascii="Times New Roman" w:hAnsi="Times New Roman"/>
          <w:lang w:eastAsia="sk-SK"/>
        </w:rPr>
        <w:t>nevysporiadava</w:t>
      </w:r>
      <w:proofErr w:type="spellEnd"/>
      <w:r w:rsidRPr="00A1156D">
        <w:rPr>
          <w:rFonts w:ascii="Times New Roman" w:hAnsi="Times New Roman"/>
          <w:lang w:eastAsia="sk-SK"/>
        </w:rPr>
        <w:t>.</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3"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4" w:author="Autor" w:initials="A">
    <w:p w14:paraId="02763144" w14:textId="77777777" w:rsidR="00D13713" w:rsidRDefault="00D13713">
      <w:pPr>
        <w:pStyle w:val="Textkomentra"/>
      </w:pPr>
      <w:r>
        <w:rPr>
          <w:rStyle w:val="Odkaznakomentr"/>
        </w:rPr>
        <w:annotationRef/>
      </w:r>
      <w:r w:rsidRPr="004D357F">
        <w:t>V prípade, ak sa zjednodušené vykazovanie výdavkov v projekte neaplikuje RO predmetné ustanovenie odstráni</w:t>
      </w:r>
    </w:p>
  </w:comment>
  <w:comment w:id="5"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6"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7" w:author="Autor" w:initials="A">
    <w:p w14:paraId="4C8F3820" w14:textId="77777777" w:rsidR="00D13713" w:rsidRDefault="00D13713"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2D68FDFD" w14:textId="77777777" w:rsidR="00D13713" w:rsidRDefault="00D13713">
      <w:pPr>
        <w:pStyle w:val="Textkomentra"/>
      </w:pPr>
    </w:p>
  </w:comment>
  <w:comment w:id="8"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9" w:author="Autor" w:initials="A">
    <w:p w14:paraId="731A4F8A" w14:textId="77777777" w:rsidR="00D13713" w:rsidRDefault="00D13713">
      <w:pPr>
        <w:pStyle w:val="Textkomentra"/>
      </w:pPr>
      <w:r>
        <w:rPr>
          <w:rStyle w:val="Odkaznakomentr"/>
        </w:rPr>
        <w:annotationRef/>
      </w:r>
      <w:r w:rsidRPr="004D357F">
        <w:t>RO odstráni, ak sa v projekte zjednodušené vykazovanie výdavkov nevyužíva</w:t>
      </w:r>
    </w:p>
  </w:comment>
  <w:comment w:id="10"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11"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12"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13"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4"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5" w:author="Autor" w:initials="A">
    <w:p w14:paraId="5EED03E8" w14:textId="77777777" w:rsidR="00D13713" w:rsidRDefault="00D13713">
      <w:pPr>
        <w:pStyle w:val="Textkomentra"/>
      </w:pPr>
      <w:r>
        <w:rPr>
          <w:rStyle w:val="Odkaznakomentr"/>
        </w:rPr>
        <w:annotationRef/>
      </w:r>
      <w:r w:rsidRPr="004D357F">
        <w:t>RO odstráni, ak sa v projekte zjednodušené vykazovanie výdavkov nevyužíva.</w:t>
      </w:r>
    </w:p>
  </w:comment>
  <w:comment w:id="16"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7"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8"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9"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20"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21"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22" w:author="Autor" w:initials="A">
    <w:p w14:paraId="5BB4D5B1" w14:textId="77777777" w:rsidR="00D13713" w:rsidRDefault="00D13713">
      <w:pPr>
        <w:pStyle w:val="Textkomentra"/>
      </w:pPr>
      <w:r>
        <w:rPr>
          <w:rStyle w:val="Odkaznakomentr"/>
        </w:rPr>
        <w:annotationRef/>
      </w:r>
      <w:r w:rsidRPr="004D357F">
        <w:t>RO odstráni v prípade, že sa v projekte nevyužíva zjednodušené vykazovanie výdavkov.</w:t>
      </w:r>
    </w:p>
  </w:comment>
  <w:comment w:id="23"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24"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25"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26"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7"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8"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9"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30"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31"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2"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33"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34" w:author="Autor" w:initials="A">
    <w:p w14:paraId="574CB728" w14:textId="55647526"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35"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6"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7"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8"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9"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40"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41"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42"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43"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02763144" w15:done="0"/>
  <w15:commentEx w15:paraId="310DE734" w15:done="0"/>
  <w15:commentEx w15:paraId="25E7153B" w15:done="0"/>
  <w15:commentEx w15:paraId="2D68FDFD" w15:done="0"/>
  <w15:commentEx w15:paraId="3987557C" w15:done="0"/>
  <w15:commentEx w15:paraId="731A4F8A" w15:done="0"/>
  <w15:commentEx w15:paraId="1B77E79F" w15:done="0"/>
  <w15:commentEx w15:paraId="1D32CC75" w15:done="0"/>
  <w15:commentEx w15:paraId="7583C1DA" w15:done="0"/>
  <w15:commentEx w15:paraId="5AB0BC1C" w15:done="0"/>
  <w15:commentEx w15:paraId="68A43D1F" w15:done="0"/>
  <w15:commentEx w15:paraId="5EED03E8" w15:done="0"/>
  <w15:commentEx w15:paraId="18AC03C4" w15:done="0"/>
  <w15:commentEx w15:paraId="7DA5DE3A" w15:done="0"/>
  <w15:commentEx w15:paraId="2BE8B619" w15:done="0"/>
  <w15:commentEx w15:paraId="37E4CAA2" w15:done="0"/>
  <w15:commentEx w15:paraId="5F3E7A4C" w15:done="0"/>
  <w15:commentEx w15:paraId="7AE6A074" w15:done="0"/>
  <w15:commentEx w15:paraId="5BB4D5B1"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02763144" w16cid:durableId="264F9962"/>
  <w16cid:commentId w16cid:paraId="310DE734" w16cid:durableId="2648DC3D"/>
  <w16cid:commentId w16cid:paraId="25E7153B" w16cid:durableId="2648E41C"/>
  <w16cid:commentId w16cid:paraId="2D68FDFD" w16cid:durableId="264F9963"/>
  <w16cid:commentId w16cid:paraId="3987557C" w16cid:durableId="2648DC3F"/>
  <w16cid:commentId w16cid:paraId="731A4F8A" w16cid:durableId="264F9964"/>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5EED03E8" w16cid:durableId="264F9966"/>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5BB4D5B1" w16cid:durableId="264F996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574CB728" w16cid:durableId="2648DC54"/>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A320B" w14:textId="77777777" w:rsidR="00C22051" w:rsidRDefault="00C22051" w:rsidP="00107570">
      <w:pPr>
        <w:spacing w:after="0" w:line="240" w:lineRule="auto"/>
      </w:pPr>
      <w:r>
        <w:separator/>
      </w:r>
    </w:p>
  </w:endnote>
  <w:endnote w:type="continuationSeparator" w:id="0">
    <w:p w14:paraId="589B454F" w14:textId="77777777" w:rsidR="00C22051" w:rsidRDefault="00C22051" w:rsidP="00107570">
      <w:pPr>
        <w:spacing w:after="0" w:line="240" w:lineRule="auto"/>
      </w:pPr>
      <w:r>
        <w:continuationSeparator/>
      </w:r>
    </w:p>
  </w:endnote>
  <w:endnote w:type="continuationNotice" w:id="1">
    <w:p w14:paraId="4E6F41A5" w14:textId="77777777" w:rsidR="00C22051" w:rsidRDefault="00C220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26C3E561"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607648">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607648">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469AE" w14:textId="77777777" w:rsidR="00C22051" w:rsidRDefault="00C22051" w:rsidP="00107570">
      <w:pPr>
        <w:spacing w:after="0" w:line="240" w:lineRule="auto"/>
      </w:pPr>
      <w:r>
        <w:separator/>
      </w:r>
    </w:p>
  </w:footnote>
  <w:footnote w:type="continuationSeparator" w:id="0">
    <w:p w14:paraId="27D1367D" w14:textId="77777777" w:rsidR="00C22051" w:rsidRDefault="00C22051" w:rsidP="00107570">
      <w:pPr>
        <w:spacing w:after="0" w:line="240" w:lineRule="auto"/>
      </w:pPr>
      <w:r>
        <w:continuationSeparator/>
      </w:r>
    </w:p>
  </w:footnote>
  <w:footnote w:type="continuationNotice" w:id="1">
    <w:p w14:paraId="23B89F00" w14:textId="77777777" w:rsidR="00C22051" w:rsidRDefault="00C22051">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994995270">
    <w:abstractNumId w:val="34"/>
  </w:num>
  <w:num w:numId="2" w16cid:durableId="128019856">
    <w:abstractNumId w:val="35"/>
  </w:num>
  <w:num w:numId="3" w16cid:durableId="384984445">
    <w:abstractNumId w:val="11"/>
  </w:num>
  <w:num w:numId="4" w16cid:durableId="929004634">
    <w:abstractNumId w:val="63"/>
  </w:num>
  <w:num w:numId="5" w16cid:durableId="65155195">
    <w:abstractNumId w:val="3"/>
  </w:num>
  <w:num w:numId="6" w16cid:durableId="97801772">
    <w:abstractNumId w:val="49"/>
  </w:num>
  <w:num w:numId="7" w16cid:durableId="1479684426">
    <w:abstractNumId w:val="54"/>
  </w:num>
  <w:num w:numId="8" w16cid:durableId="878082984">
    <w:abstractNumId w:val="70"/>
  </w:num>
  <w:num w:numId="9" w16cid:durableId="1375350913">
    <w:abstractNumId w:val="14"/>
  </w:num>
  <w:num w:numId="10" w16cid:durableId="999692653">
    <w:abstractNumId w:val="44"/>
  </w:num>
  <w:num w:numId="11" w16cid:durableId="724135640">
    <w:abstractNumId w:val="4"/>
  </w:num>
  <w:num w:numId="12" w16cid:durableId="1430003303">
    <w:abstractNumId w:val="32"/>
  </w:num>
  <w:num w:numId="13" w16cid:durableId="712928327">
    <w:abstractNumId w:val="41"/>
  </w:num>
  <w:num w:numId="14" w16cid:durableId="1091468362">
    <w:abstractNumId w:val="23"/>
  </w:num>
  <w:num w:numId="15" w16cid:durableId="514422182">
    <w:abstractNumId w:val="39"/>
  </w:num>
  <w:num w:numId="16" w16cid:durableId="2083480837">
    <w:abstractNumId w:val="17"/>
  </w:num>
  <w:num w:numId="17" w16cid:durableId="1806579218">
    <w:abstractNumId w:val="26"/>
  </w:num>
  <w:num w:numId="18" w16cid:durableId="2146507318">
    <w:abstractNumId w:val="15"/>
  </w:num>
  <w:num w:numId="19" w16cid:durableId="433138796">
    <w:abstractNumId w:val="65"/>
  </w:num>
  <w:num w:numId="20" w16cid:durableId="680592759">
    <w:abstractNumId w:val="62"/>
  </w:num>
  <w:num w:numId="21" w16cid:durableId="1612779601">
    <w:abstractNumId w:val="42"/>
  </w:num>
  <w:num w:numId="22" w16cid:durableId="1852881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93349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7554410">
    <w:abstractNumId w:val="70"/>
  </w:num>
  <w:num w:numId="25" w16cid:durableId="20564191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537241">
    <w:abstractNumId w:val="13"/>
  </w:num>
  <w:num w:numId="27" w16cid:durableId="970792862">
    <w:abstractNumId w:val="7"/>
  </w:num>
  <w:num w:numId="28" w16cid:durableId="500698578">
    <w:abstractNumId w:val="12"/>
  </w:num>
  <w:num w:numId="29" w16cid:durableId="1821312234">
    <w:abstractNumId w:val="36"/>
  </w:num>
  <w:num w:numId="30" w16cid:durableId="1923903587">
    <w:abstractNumId w:val="69"/>
  </w:num>
  <w:num w:numId="31" w16cid:durableId="2127235748">
    <w:abstractNumId w:val="43"/>
  </w:num>
  <w:num w:numId="32" w16cid:durableId="1020548104">
    <w:abstractNumId w:val="57"/>
  </w:num>
  <w:num w:numId="33" w16cid:durableId="6563039">
    <w:abstractNumId w:val="56"/>
  </w:num>
  <w:num w:numId="34" w16cid:durableId="876818795">
    <w:abstractNumId w:val="52"/>
  </w:num>
  <w:num w:numId="35" w16cid:durableId="1825899321">
    <w:abstractNumId w:val="47"/>
  </w:num>
  <w:num w:numId="36" w16cid:durableId="572814915">
    <w:abstractNumId w:val="53"/>
  </w:num>
  <w:num w:numId="37" w16cid:durableId="300885429">
    <w:abstractNumId w:val="30"/>
  </w:num>
  <w:num w:numId="38" w16cid:durableId="1208226158">
    <w:abstractNumId w:val="27"/>
  </w:num>
  <w:num w:numId="39" w16cid:durableId="1433550550">
    <w:abstractNumId w:val="9"/>
  </w:num>
  <w:num w:numId="40" w16cid:durableId="1283457450">
    <w:abstractNumId w:val="58"/>
  </w:num>
  <w:num w:numId="41" w16cid:durableId="2091147916">
    <w:abstractNumId w:val="71"/>
  </w:num>
  <w:num w:numId="42" w16cid:durableId="497036926">
    <w:abstractNumId w:val="55"/>
  </w:num>
  <w:num w:numId="43" w16cid:durableId="433475355">
    <w:abstractNumId w:val="51"/>
  </w:num>
  <w:num w:numId="44" w16cid:durableId="2021160116">
    <w:abstractNumId w:val="64"/>
  </w:num>
  <w:num w:numId="45" w16cid:durableId="1027291370">
    <w:abstractNumId w:val="38"/>
  </w:num>
  <w:num w:numId="46" w16cid:durableId="869150659">
    <w:abstractNumId w:val="8"/>
  </w:num>
  <w:num w:numId="47" w16cid:durableId="1136528644">
    <w:abstractNumId w:val="21"/>
  </w:num>
  <w:num w:numId="48" w16cid:durableId="1758986554">
    <w:abstractNumId w:val="10"/>
  </w:num>
  <w:num w:numId="49" w16cid:durableId="813645399">
    <w:abstractNumId w:val="22"/>
  </w:num>
  <w:num w:numId="50" w16cid:durableId="1774587349">
    <w:abstractNumId w:val="1"/>
  </w:num>
  <w:num w:numId="51" w16cid:durableId="760250334">
    <w:abstractNumId w:val="33"/>
  </w:num>
  <w:num w:numId="52" w16cid:durableId="1788154997">
    <w:abstractNumId w:val="44"/>
  </w:num>
  <w:num w:numId="53" w16cid:durableId="325478361">
    <w:abstractNumId w:val="60"/>
  </w:num>
  <w:num w:numId="54" w16cid:durableId="148519097">
    <w:abstractNumId w:val="66"/>
  </w:num>
  <w:num w:numId="55" w16cid:durableId="923494163">
    <w:abstractNumId w:val="24"/>
  </w:num>
  <w:num w:numId="56" w16cid:durableId="915239759">
    <w:abstractNumId w:val="45"/>
  </w:num>
  <w:num w:numId="57" w16cid:durableId="638190245">
    <w:abstractNumId w:val="20"/>
  </w:num>
  <w:num w:numId="58" w16cid:durableId="1209998986">
    <w:abstractNumId w:val="25"/>
  </w:num>
  <w:num w:numId="59" w16cid:durableId="1867475592">
    <w:abstractNumId w:val="40"/>
  </w:num>
  <w:num w:numId="60" w16cid:durableId="29693175">
    <w:abstractNumId w:val="67"/>
  </w:num>
  <w:num w:numId="61" w16cid:durableId="1557007007">
    <w:abstractNumId w:val="16"/>
  </w:num>
  <w:num w:numId="62" w16cid:durableId="1449929460">
    <w:abstractNumId w:val="29"/>
  </w:num>
  <w:num w:numId="63" w16cid:durableId="14079174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0010615">
    <w:abstractNumId w:val="6"/>
  </w:num>
  <w:num w:numId="65" w16cid:durableId="1047803670">
    <w:abstractNumId w:val="5"/>
  </w:num>
  <w:num w:numId="66" w16cid:durableId="1736203331">
    <w:abstractNumId w:val="37"/>
  </w:num>
  <w:num w:numId="67" w16cid:durableId="427309862">
    <w:abstractNumId w:val="0"/>
  </w:num>
  <w:num w:numId="68" w16cid:durableId="1018239138">
    <w:abstractNumId w:val="44"/>
  </w:num>
  <w:num w:numId="69" w16cid:durableId="2134470462">
    <w:abstractNumId w:val="44"/>
  </w:num>
  <w:num w:numId="70" w16cid:durableId="283077587">
    <w:abstractNumId w:val="31"/>
  </w:num>
  <w:num w:numId="71" w16cid:durableId="2107731888">
    <w:abstractNumId w:val="61"/>
  </w:num>
  <w:num w:numId="72" w16cid:durableId="606041210">
    <w:abstractNumId w:val="59"/>
  </w:num>
  <w:num w:numId="73" w16cid:durableId="1814517286">
    <w:abstractNumId w:val="28"/>
  </w:num>
  <w:num w:numId="74" w16cid:durableId="1553620099">
    <w:abstractNumId w:val="68"/>
  </w:num>
  <w:num w:numId="75" w16cid:durableId="1030574563">
    <w:abstractNumId w:val="18"/>
  </w:num>
  <w:num w:numId="76" w16cid:durableId="1121144779">
    <w:abstractNumId w:val="2"/>
  </w:num>
  <w:num w:numId="77" w16cid:durableId="168593902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7A44-A57D-4155-A2A9-FCBFAC53A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26268</Words>
  <Characters>149732</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2022-06-12T19:30:00Z</dcterms:created>
  <dcterms:modified xsi:type="dcterms:W3CDTF">2022-07-17T14:26:00Z</dcterms:modified>
</cp:coreProperties>
</file>