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2F0FC815"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aktuálne platného 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xml:space="preserve">, </w:t>
      </w:r>
      <w:proofErr w:type="spellStart"/>
      <w:r w:rsidR="00577FC6" w:rsidRPr="00A85F0F">
        <w:rPr>
          <w:sz w:val="22"/>
          <w:szCs w:val="22"/>
        </w:rPr>
        <w:t>t.j</w:t>
      </w:r>
      <w:proofErr w:type="spellEnd"/>
      <w:r w:rsidR="00577FC6" w:rsidRPr="00A85F0F">
        <w:rPr>
          <w:sz w:val="22"/>
          <w:szCs w:val="22"/>
        </w:rPr>
        <w:t>.  použije sa vždy v platnom znení</w:t>
      </w:r>
      <w:r w:rsidR="0052530F" w:rsidRPr="00A85F0F">
        <w:rPr>
          <w:sz w:val="22"/>
          <w:szCs w:val="22"/>
        </w:rPr>
        <w:t>, okrem prípadu, ak z Právnych predpisov alebo aktov EÚ alebo z Právnych predpisov SR vyplýva pov</w:t>
      </w:r>
      <w:r w:rsidR="0052530F">
        <w:rPr>
          <w:sz w:val="22"/>
          <w:szCs w:val="22"/>
        </w:rPr>
        <w:t xml:space="preserve">innosť uplatňovania ich ustanovení v znení platnom v určitom čase, napríklad v prípade štátnej pomoci/pomoci de </w:t>
      </w:r>
      <w:proofErr w:type="spellStart"/>
      <w:r w:rsidR="0052530F">
        <w:rPr>
          <w:sz w:val="22"/>
          <w:szCs w:val="22"/>
        </w:rPr>
        <w:t>minimis</w:t>
      </w:r>
      <w:proofErr w:type="spellEnd"/>
      <w:r w:rsidR="0052530F">
        <w:rPr>
          <w:sz w:val="22"/>
          <w:szCs w:val="22"/>
        </w:rPr>
        <w:t xml:space="preserve">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221B0A50"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ins w:id="8" w:author="Autor">
        <w:r w:rsidR="00DA6D63">
          <w:rPr>
            <w:sz w:val="22"/>
            <w:szCs w:val="22"/>
          </w:rPr>
          <w:t>šiesti</w:t>
        </w:r>
      </w:ins>
      <w:del w:id="9" w:author="Autor">
        <w:r w:rsidR="00A75B7E" w:rsidDel="00DA6D63">
          <w:rPr>
            <w:sz w:val="22"/>
            <w:szCs w:val="22"/>
          </w:rPr>
          <w:delText>tro</w:delText>
        </w:r>
      </w:del>
      <w:r w:rsidR="00A75B7E">
        <w:rPr>
          <w:sz w:val="22"/>
          <w:szCs w:val="22"/>
        </w:rPr>
        <w:t>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w:t>
      </w:r>
      <w:proofErr w:type="spellStart"/>
      <w:r w:rsidR="00DF7D03" w:rsidRPr="0012356C">
        <w:rPr>
          <w:sz w:val="22"/>
          <w:szCs w:val="22"/>
        </w:rPr>
        <w:t>t.j</w:t>
      </w:r>
      <w:proofErr w:type="spellEnd"/>
      <w:r w:rsidR="00DF7D03" w:rsidRPr="0012356C">
        <w:rPr>
          <w:sz w:val="22"/>
          <w:szCs w:val="22"/>
        </w:rPr>
        <w:t xml:space="preserve">.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10"/>
      <w:r w:rsidRPr="00AD0F62">
        <w:rPr>
          <w:sz w:val="22"/>
          <w:szCs w:val="22"/>
        </w:rPr>
        <w:t>pri najbližšom písomnom dodatku k Zmluve o poskytnutí NFP</w:t>
      </w:r>
      <w:commentRangeEnd w:id="10"/>
      <w:r w:rsidR="006F0E12">
        <w:rPr>
          <w:rStyle w:val="Odkaznakomentr"/>
        </w:rPr>
        <w:commentReference w:id="10"/>
      </w:r>
      <w:r w:rsidR="00F42988">
        <w:rPr>
          <w:sz w:val="22"/>
          <w:szCs w:val="22"/>
        </w:rPr>
        <w:t xml:space="preserve">, </w:t>
      </w:r>
      <w:commentRangeStart w:id="11"/>
      <w:r w:rsidR="00F42988">
        <w:rPr>
          <w:sz w:val="22"/>
          <w:szCs w:val="22"/>
        </w:rPr>
        <w:t>ak</w:t>
      </w:r>
      <w:commentRangeEnd w:id="11"/>
      <w:r w:rsidR="00F42988">
        <w:rPr>
          <w:rStyle w:val="Odkaznakomentr"/>
        </w:rPr>
        <w:commentReference w:id="11"/>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12"/>
      <w:r w:rsidR="007C5703" w:rsidRPr="00AD0F62">
        <w:rPr>
          <w:bCs/>
        </w:rPr>
        <w:t xml:space="preserve">realizácie </w:t>
      </w:r>
      <w:r w:rsidR="008A040A">
        <w:rPr>
          <w:bCs/>
        </w:rPr>
        <w:t xml:space="preserve">hlavných </w:t>
      </w:r>
      <w:r w:rsidR="007C5703" w:rsidRPr="00AD0F62">
        <w:rPr>
          <w:bCs/>
        </w:rPr>
        <w:t>aktivít Projektu</w:t>
      </w:r>
      <w:commentRangeEnd w:id="12"/>
      <w:r w:rsidR="006F0E12">
        <w:rPr>
          <w:rStyle w:val="Odkaznakomentr"/>
        </w:rPr>
        <w:commentReference w:id="12"/>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3"/>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3"/>
      <w:r>
        <w:rPr>
          <w:rStyle w:val="Odkaznakomentr"/>
        </w:rPr>
        <w:commentReference w:id="13"/>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4"/>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4"/>
      <w:r w:rsidR="001B3BE4">
        <w:rPr>
          <w:rStyle w:val="Odkaznakomentr"/>
        </w:rPr>
        <w:commentReference w:id="14"/>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w:t>
      </w:r>
      <w:proofErr w:type="spellStart"/>
      <w:r w:rsidR="00F56143">
        <w:rPr>
          <w:sz w:val="22"/>
          <w:szCs w:val="22"/>
        </w:rPr>
        <w:t>ante</w:t>
      </w:r>
      <w:proofErr w:type="spellEnd"/>
      <w:r w:rsidR="00F56143">
        <w:rPr>
          <w:sz w:val="22"/>
          <w:szCs w:val="22"/>
        </w:rPr>
        <w:t xml:space="preserv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5"/>
      <w:commentRangeEnd w:id="15"/>
      <w:r w:rsidR="00146E40" w:rsidRPr="00631E28">
        <w:rPr>
          <w:sz w:val="22"/>
          <w:szCs w:val="22"/>
        </w:rPr>
        <w:commentReference w:id="15"/>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6"/>
      <w:r w:rsidRPr="00087969">
        <w:rPr>
          <w:sz w:val="22"/>
          <w:szCs w:val="22"/>
        </w:rPr>
        <w:t>20%</w:t>
      </w:r>
      <w:commentRangeEnd w:id="16"/>
      <w:r>
        <w:rPr>
          <w:rStyle w:val="Odkaznakomentr"/>
        </w:rPr>
        <w:commentReference w:id="16"/>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7"/>
      <w:r w:rsidRPr="00111B98">
        <w:rPr>
          <w:sz w:val="22"/>
          <w:szCs w:val="22"/>
        </w:rPr>
        <w:t>Zmena sa posudzuje z hľadiska zmien fungovania Projektu v Období Udržateľnosti Projektu.</w:t>
      </w:r>
      <w:commentRangeEnd w:id="17"/>
      <w:r>
        <w:rPr>
          <w:rStyle w:val="Odkaznakomentr"/>
        </w:rPr>
        <w:commentReference w:id="17"/>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8"/>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8"/>
      <w:r w:rsidR="00733F25">
        <w:rPr>
          <w:rStyle w:val="Odkaznakomentr"/>
        </w:rPr>
        <w:commentReference w:id="18"/>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9"/>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9"/>
      <w:r w:rsidR="00972D47">
        <w:rPr>
          <w:rStyle w:val="Odkaznakomentr"/>
        </w:rPr>
        <w:commentReference w:id="19"/>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w:t>
      </w:r>
      <w:proofErr w:type="spellStart"/>
      <w:r w:rsidRPr="00AD0F62">
        <w:t>t.j</w:t>
      </w:r>
      <w:proofErr w:type="spellEnd"/>
      <w:r w:rsidRPr="00AD0F62">
        <w:t xml:space="preserve">.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w:t>
      </w:r>
      <w:proofErr w:type="spellStart"/>
      <w:r w:rsidRPr="000E4999">
        <w:rPr>
          <w:sz w:val="22"/>
          <w:szCs w:val="22"/>
        </w:rPr>
        <w:t>ante</w:t>
      </w:r>
      <w:proofErr w:type="spellEnd"/>
      <w:r w:rsidRPr="000E4999">
        <w:rPr>
          <w:sz w:val="22"/>
          <w:szCs w:val="22"/>
        </w:rPr>
        <w:t xml:space="preserv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20"/>
      <w:r w:rsidR="00344FAC" w:rsidRPr="00227BA9">
        <w:rPr>
          <w:sz w:val="22"/>
          <w:szCs w:val="22"/>
        </w:rPr>
        <w:t>rijímateľa</w:t>
      </w:r>
      <w:commentRangeEnd w:id="20"/>
      <w:r w:rsidR="00344FAC">
        <w:rPr>
          <w:rStyle w:val="Odkaznakomentr"/>
        </w:rPr>
        <w:commentReference w:id="20"/>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671DD36B"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ins w:id="21" w:author="Autor">
        <w:r w:rsidR="00E10DBF">
          <w:rPr>
            <w:sz w:val="22"/>
            <w:szCs w:val="22"/>
          </w:rPr>
          <w:t>.</w:t>
        </w:r>
      </w:ins>
      <w:r w:rsidR="009866E8">
        <w:rPr>
          <w:sz w:val="22"/>
          <w:szCs w:val="22"/>
        </w:rPr>
        <w:t xml:space="preserve"> </w:t>
      </w:r>
      <w:ins w:id="22" w:author="Auto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ins>
      <w:del w:id="23" w:author="Autor">
        <w:r w:rsidR="009866E8" w:rsidDel="00E10DBF">
          <w:rPr>
            <w:sz w:val="22"/>
            <w:szCs w:val="22"/>
          </w:rPr>
          <w:delText xml:space="preserve">(na základe kvalifikovaného certifikátu, mandátneho certifikátu). Každá zo zmluvných strán dostane jeden exemplár elektronického dokumentu s kvalifikovanými elektronickými podpismi </w:delText>
        </w:r>
        <w:r w:rsidR="009866E8" w:rsidRPr="000E76C5" w:rsidDel="00E10DBF">
          <w:rPr>
            <w:sz w:val="22"/>
            <w:szCs w:val="22"/>
          </w:rPr>
          <w:delText>(na základe kvalifikovaného certifikátu, mandátneho certifikátu)</w:delText>
        </w:r>
        <w:r w:rsidR="009866E8" w:rsidDel="00E10DBF">
          <w:rPr>
            <w:sz w:val="22"/>
            <w:szCs w:val="22"/>
          </w:rPr>
          <w:delText xml:space="preserve"> obidvoch zmluvných strán. </w:delText>
        </w:r>
      </w:del>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24"/>
      <w:r w:rsidR="009866E8" w:rsidRPr="00B85D5F">
        <w:rPr>
          <w:sz w:val="22"/>
          <w:szCs w:val="22"/>
        </w:rPr>
        <w:t>NFP</w:t>
      </w:r>
      <w:commentRangeEnd w:id="24"/>
      <w:r w:rsidR="00E10670">
        <w:rPr>
          <w:rStyle w:val="Odkaznakomentr"/>
        </w:rPr>
        <w:commentReference w:id="24"/>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5"/>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6"/>
      <w:commentRangeEnd w:id="26"/>
      <w:r w:rsidRPr="00111B98">
        <w:rPr>
          <w:rStyle w:val="Odkaznakomentr"/>
        </w:rPr>
        <w:commentReference w:id="26"/>
      </w:r>
      <w:commentRangeStart w:id="27"/>
      <w:commentRangeEnd w:id="27"/>
      <w:r>
        <w:rPr>
          <w:rStyle w:val="Odkaznakomentr"/>
        </w:rPr>
        <w:commentReference w:id="27"/>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w:t>
      </w:r>
      <w:proofErr w:type="spellStart"/>
      <w:r>
        <w:rPr>
          <w:sz w:val="22"/>
          <w:szCs w:val="22"/>
        </w:rPr>
        <w:t>ov</w:t>
      </w:r>
      <w:proofErr w:type="spellEnd"/>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w:t>
      </w:r>
      <w:proofErr w:type="spellStart"/>
      <w:r>
        <w:rPr>
          <w:sz w:val="22"/>
          <w:szCs w:val="22"/>
        </w:rPr>
        <w:t>ov</w:t>
      </w:r>
      <w:proofErr w:type="spellEnd"/>
      <w:r>
        <w:rPr>
          <w:sz w:val="22"/>
          <w:szCs w:val="22"/>
        </w:rPr>
        <w:t xml:space="preserve">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5"/>
      <w:r w:rsidR="00E11AB7">
        <w:rPr>
          <w:rStyle w:val="Odkaznakomentr"/>
        </w:rPr>
        <w:commentReference w:id="25"/>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nepo</w:t>
      </w:r>
      <w:bookmarkStart w:id="28" w:name="_GoBack"/>
      <w:bookmarkEnd w:id="28"/>
      <w:r w:rsidR="00741B65" w:rsidRPr="00D665A9">
        <w:rPr>
          <w:sz w:val="22"/>
          <w:szCs w:val="22"/>
        </w:rPr>
        <w:t xml:space="preserve">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lastRenderedPageBreak/>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9"/>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30"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30"/>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w:t>
      </w:r>
      <w:proofErr w:type="spellStart"/>
      <w:r w:rsidRPr="00AA3668">
        <w:rPr>
          <w:bCs/>
          <w:sz w:val="22"/>
          <w:szCs w:val="22"/>
        </w:rPr>
        <w:t>Governmente</w:t>
      </w:r>
      <w:proofErr w:type="spellEnd"/>
      <w:r w:rsidRPr="00AA3668">
        <w:rPr>
          <w:bCs/>
          <w:sz w:val="22"/>
          <w:szCs w:val="22"/>
        </w:rPr>
        <w:t>) v znení neskorších predpisov</w:t>
      </w:r>
      <w:r>
        <w:rPr>
          <w:bCs/>
          <w:sz w:val="22"/>
          <w:szCs w:val="22"/>
        </w:rPr>
        <w:t>.</w:t>
      </w:r>
      <w:commentRangeEnd w:id="29"/>
      <w:r w:rsidR="0016143A">
        <w:rPr>
          <w:rStyle w:val="Odkaznakomentr"/>
        </w:rPr>
        <w:commentReference w:id="29"/>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10" w:author="Autor" w:initials="A">
    <w:p w14:paraId="1F86E754" w14:textId="77777777" w:rsidR="006F0E12" w:rsidRDefault="006F0E12">
      <w:pPr>
        <w:pStyle w:val="Textkomentra"/>
      </w:pPr>
      <w:r>
        <w:rPr>
          <w:rStyle w:val="Odkaznakomentr"/>
        </w:rPr>
        <w:annotationRef/>
      </w:r>
      <w:r w:rsidR="00802587" w:rsidRPr="00802587">
        <w:t xml:space="preserve">Menej významná zmena sa zapracuje do Zmluvy pri najbližšom dodatku, ktorého predmetom bude aj úprava významnejšej zmeny. Pokiaľ nedôjde k uzatvoreniu dodatku podľa prvej vety, </w:t>
      </w:r>
      <w:proofErr w:type="spellStart"/>
      <w:r w:rsidR="00802587" w:rsidRPr="00802587">
        <w:t>t.j</w:t>
      </w:r>
      <w:proofErr w:type="spellEnd"/>
      <w:r w:rsidR="00802587" w:rsidRPr="00802587">
        <w:t>. nedôjde k schváleniu významnejšej zmeny na projekte do ukončenia realizácie hlavných aktivít projektu (s dopadom na údaje zmluvy o NFP), menej významné zmeny sa premietnu do Zmluvy pred schválením záverečnej žiadosti o platbu</w:t>
      </w:r>
    </w:p>
  </w:comment>
  <w:comment w:id="11"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2"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3"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4"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5"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7777777"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 xml:space="preserve">á kvôli neskorších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6"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7"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8"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9"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20" w:author="Autor" w:initials="A">
    <w:p w14:paraId="4B31E89F" w14:textId="77777777" w:rsidR="00344FAC" w:rsidRDefault="00344FAC" w:rsidP="00344FAC">
      <w:pPr>
        <w:pStyle w:val="Textkomentra"/>
      </w:pPr>
      <w:r>
        <w:rPr>
          <w:rStyle w:val="Odkaznakomentr"/>
        </w:rPr>
        <w:annotationRef/>
      </w:r>
      <w:r>
        <w:rPr>
          <w:rStyle w:val="Odkaznakomentr"/>
        </w:rPr>
        <w:annotationRef/>
      </w:r>
      <w:r>
        <w:t xml:space="preserve">Ak z plnomocenstva nevyplýva, že má jednorazový charakter, platí na všetky úkony toho druhu, na ktorý sa vzťahuje, a teda nie je ho potrebné predkladať opakovane (napr. pri každej </w:t>
      </w:r>
      <w:proofErr w:type="spellStart"/>
      <w:r>
        <w:t>ŽoP</w:t>
      </w:r>
      <w:proofErr w:type="spellEnd"/>
      <w:r>
        <w:t>).</w:t>
      </w:r>
    </w:p>
    <w:p w14:paraId="54B605EF" w14:textId="77777777" w:rsidR="00344FAC" w:rsidRDefault="00344FAC" w:rsidP="00344FAC">
      <w:pPr>
        <w:pStyle w:val="Textkomentra"/>
      </w:pPr>
    </w:p>
  </w:comment>
  <w:comment w:id="24"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w:t>
      </w:r>
      <w:proofErr w:type="spellStart"/>
      <w:r w:rsidR="00704294">
        <w:rPr>
          <w:sz w:val="22"/>
          <w:szCs w:val="22"/>
        </w:rPr>
        <w:t>ov</w:t>
      </w:r>
      <w:proofErr w:type="spellEnd"/>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w:t>
      </w:r>
      <w:proofErr w:type="spellStart"/>
      <w:r w:rsidR="00704294">
        <w:rPr>
          <w:sz w:val="22"/>
          <w:szCs w:val="22"/>
        </w:rPr>
        <w:t>ov</w:t>
      </w:r>
      <w:proofErr w:type="spellEnd"/>
      <w:r w:rsidR="00704294">
        <w:rPr>
          <w:sz w:val="22"/>
          <w:szCs w:val="22"/>
        </w:rPr>
        <w:t xml:space="preserve">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77777777"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Pr>
          <w:sz w:val="22"/>
          <w:szCs w:val="22"/>
        </w:rPr>
        <w:t xml:space="preserve">XXX. </w:t>
      </w:r>
      <w:r w:rsidRPr="00104EB0">
        <w:rPr>
          <w:i/>
          <w:sz w:val="22"/>
          <w:szCs w:val="22"/>
        </w:rPr>
        <w:t>(podľa dohody medzi RO a Prijímateľom)</w:t>
      </w:r>
      <w:r>
        <w:rPr>
          <w:sz w:val="22"/>
          <w:szCs w:val="22"/>
        </w:rPr>
        <w:t xml:space="preserve"> </w:t>
      </w:r>
      <w:r w:rsidRPr="00111B98">
        <w:rPr>
          <w:sz w:val="22"/>
          <w:szCs w:val="22"/>
        </w:rPr>
        <w:t xml:space="preserve"> rovnopisoch</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XXXX </w:t>
      </w:r>
      <w:r w:rsidRPr="00111B98">
        <w:rPr>
          <w:sz w:val="22"/>
          <w:szCs w:val="22"/>
        </w:rPr>
        <w:t xml:space="preserve"> rovnopis</w:t>
      </w:r>
      <w:r>
        <w:rPr>
          <w:sz w:val="22"/>
          <w:szCs w:val="22"/>
        </w:rPr>
        <w:t>ov</w:t>
      </w:r>
      <w:r w:rsidRPr="00111B98">
        <w:rPr>
          <w:sz w:val="22"/>
          <w:szCs w:val="22"/>
        </w:rPr>
        <w:t xml:space="preserve"> a </w:t>
      </w:r>
      <w:r>
        <w:rPr>
          <w:sz w:val="22"/>
          <w:szCs w:val="22"/>
        </w:rPr>
        <w:t>XXX</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6"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7"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5"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29" w:author="Autor" w:initials="A">
    <w:p w14:paraId="21546F21" w14:textId="77777777"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aktuálne platného Plnomocenstva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1131B" w14:textId="77777777" w:rsidR="00AF5578" w:rsidRDefault="00AF5578">
      <w:r>
        <w:separator/>
      </w:r>
    </w:p>
  </w:endnote>
  <w:endnote w:type="continuationSeparator" w:id="0">
    <w:p w14:paraId="7C3D941C" w14:textId="77777777" w:rsidR="00AF5578" w:rsidRDefault="00AF5578">
      <w:r>
        <w:continuationSeparator/>
      </w:r>
    </w:p>
  </w:endnote>
  <w:endnote w:type="continuationNotice" w:id="1">
    <w:p w14:paraId="6CA5AFB8" w14:textId="77777777" w:rsidR="00AF5578" w:rsidRDefault="00AF5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C15F" w14:textId="544A364E"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E677B1">
      <w:rPr>
        <w:rStyle w:val="slostrany"/>
        <w:noProof/>
      </w:rPr>
      <w:t>21</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27950" w14:textId="77777777" w:rsidR="00AF5578" w:rsidRDefault="00AF5578">
      <w:r>
        <w:separator/>
      </w:r>
    </w:p>
  </w:footnote>
  <w:footnote w:type="continuationSeparator" w:id="0">
    <w:p w14:paraId="27BF19C9" w14:textId="77777777" w:rsidR="00AF5578" w:rsidRDefault="00AF5578">
      <w:r>
        <w:continuationSeparator/>
      </w:r>
    </w:p>
  </w:footnote>
  <w:footnote w:type="continuationNotice" w:id="1">
    <w:p w14:paraId="4B560B63" w14:textId="77777777" w:rsidR="00AF5578" w:rsidRDefault="00AF5578"/>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w:t>
      </w:r>
      <w:r>
        <w:t>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w:t>
      </w:r>
      <w:r>
        <w:t>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43"/>
  </w:num>
  <w:num w:numId="3">
    <w:abstractNumId w:val="11"/>
  </w:num>
  <w:num w:numId="4">
    <w:abstractNumId w:val="21"/>
  </w:num>
  <w:num w:numId="5">
    <w:abstractNumId w:val="29"/>
  </w:num>
  <w:num w:numId="6">
    <w:abstractNumId w:val="38"/>
  </w:num>
  <w:num w:numId="7">
    <w:abstractNumId w:val="31"/>
  </w:num>
  <w:num w:numId="8">
    <w:abstractNumId w:val="50"/>
  </w:num>
  <w:num w:numId="9">
    <w:abstractNumId w:val="31"/>
    <w:lvlOverride w:ilvl="0">
      <w:startOverride w:val="1"/>
    </w:lvlOverride>
    <w:lvlOverride w:ilvl="1">
      <w:startOverride w:val="4"/>
    </w:lvlOverride>
  </w:num>
  <w:num w:numId="10">
    <w:abstractNumId w:val="37"/>
  </w:num>
  <w:num w:numId="11">
    <w:abstractNumId w:val="13"/>
  </w:num>
  <w:num w:numId="12">
    <w:abstractNumId w:val="9"/>
  </w:num>
  <w:num w:numId="13">
    <w:abstractNumId w:val="22"/>
  </w:num>
  <w:num w:numId="14">
    <w:abstractNumId w:val="33"/>
  </w:num>
  <w:num w:numId="15">
    <w:abstractNumId w:val="36"/>
  </w:num>
  <w:num w:numId="16">
    <w:abstractNumId w:val="51"/>
  </w:num>
  <w:num w:numId="17">
    <w:abstractNumId w:val="25"/>
  </w:num>
  <w:num w:numId="18">
    <w:abstractNumId w:val="30"/>
  </w:num>
  <w:num w:numId="19">
    <w:abstractNumId w:val="7"/>
  </w:num>
  <w:num w:numId="20">
    <w:abstractNumId w:val="39"/>
  </w:num>
  <w:num w:numId="21">
    <w:abstractNumId w:val="54"/>
  </w:num>
  <w:num w:numId="22">
    <w:abstractNumId w:val="0"/>
  </w:num>
  <w:num w:numId="23">
    <w:abstractNumId w:val="45"/>
  </w:num>
  <w:num w:numId="24">
    <w:abstractNumId w:val="42"/>
  </w:num>
  <w:num w:numId="25">
    <w:abstractNumId w:val="50"/>
  </w:num>
  <w:num w:numId="26">
    <w:abstractNumId w:val="34"/>
  </w:num>
  <w:num w:numId="27">
    <w:abstractNumId w:val="56"/>
  </w:num>
  <w:num w:numId="28">
    <w:abstractNumId w:val="2"/>
  </w:num>
  <w:num w:numId="29">
    <w:abstractNumId w:val="5"/>
  </w:num>
  <w:num w:numId="30">
    <w:abstractNumId w:val="46"/>
  </w:num>
  <w:num w:numId="31">
    <w:abstractNumId w:val="12"/>
  </w:num>
  <w:num w:numId="32">
    <w:abstractNumId w:val="23"/>
  </w:num>
  <w:num w:numId="33">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
  </w:num>
  <w:num w:numId="36">
    <w:abstractNumId w:val="4"/>
  </w:num>
  <w:num w:numId="37">
    <w:abstractNumId w:val="31"/>
    <w:lvlOverride w:ilvl="0">
      <w:startOverride w:val="1"/>
    </w:lvlOverride>
    <w:lvlOverride w:ilvl="1">
      <w:startOverride w:val="5"/>
    </w:lvlOverride>
  </w:num>
  <w:num w:numId="38">
    <w:abstractNumId w:val="26"/>
  </w:num>
  <w:num w:numId="39">
    <w:abstractNumId w:val="17"/>
  </w:num>
  <w:num w:numId="40">
    <w:abstractNumId w:val="16"/>
  </w:num>
  <w:num w:numId="41">
    <w:abstractNumId w:val="53"/>
  </w:num>
  <w:num w:numId="42">
    <w:abstractNumId w:val="47"/>
  </w:num>
  <w:num w:numId="43">
    <w:abstractNumId w:val="15"/>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num>
  <w:num w:numId="48">
    <w:abstractNumId w:val="3"/>
  </w:num>
  <w:num w:numId="49">
    <w:abstractNumId w:val="44"/>
  </w:num>
  <w:num w:numId="50">
    <w:abstractNumId w:val="41"/>
  </w:num>
  <w:num w:numId="51">
    <w:abstractNumId w:val="35"/>
  </w:num>
  <w:num w:numId="52">
    <w:abstractNumId w:val="19"/>
  </w:num>
  <w:num w:numId="53">
    <w:abstractNumId w:val="14"/>
  </w:num>
  <w:num w:numId="54">
    <w:abstractNumId w:val="31"/>
  </w:num>
  <w:num w:numId="55">
    <w:abstractNumId w:val="40"/>
  </w:num>
  <w:num w:numId="56">
    <w:abstractNumId w:val="31"/>
  </w:num>
  <w:num w:numId="57">
    <w:abstractNumId w:val="10"/>
  </w:num>
  <w:num w:numId="58">
    <w:abstractNumId w:val="20"/>
  </w:num>
  <w:num w:numId="59">
    <w:abstractNumId w:val="8"/>
  </w:num>
  <w:num w:numId="60">
    <w:abstractNumId w:val="27"/>
  </w:num>
  <w:num w:numId="61">
    <w:abstractNumId w:val="31"/>
  </w:num>
  <w:num w:numId="62">
    <w:abstractNumId w:val="31"/>
  </w:num>
  <w:num w:numId="63">
    <w:abstractNumId w:val="31"/>
  </w:num>
  <w:num w:numId="64">
    <w:abstractNumId w:val="31"/>
  </w:num>
  <w:num w:numId="65">
    <w:abstractNumId w:val="31"/>
  </w:num>
  <w:num w:numId="66">
    <w:abstractNumId w:val="31"/>
  </w:num>
  <w:num w:numId="67">
    <w:abstractNumId w:val="31"/>
  </w:num>
  <w:num w:numId="68">
    <w:abstractNumId w:val="31"/>
  </w:num>
  <w:num w:numId="69">
    <w:abstractNumId w:val="31"/>
  </w:num>
  <w:num w:numId="70">
    <w:abstractNumId w:val="31"/>
  </w:num>
  <w:num w:numId="71">
    <w:abstractNumId w:val="31"/>
  </w:num>
  <w:num w:numId="72">
    <w:abstractNumId w:val="32"/>
  </w:num>
  <w:num w:numId="73">
    <w:abstractNumId w:val="28"/>
  </w:num>
  <w:num w:numId="74">
    <w:abstractNumId w:val="24"/>
  </w:num>
  <w:num w:numId="75">
    <w:abstractNumId w:val="52"/>
  </w:num>
  <w:num w:numId="76">
    <w:abstractNumId w:val="55"/>
  </w:num>
  <w:num w:numId="77">
    <w:abstractNumId w:val="49"/>
  </w:num>
  <w:num w:numId="78">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A6D63"/>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4E3E3-0576-462E-954A-EAEBA38CF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10143</Words>
  <Characters>57818</Characters>
  <Application>Microsoft Office Word</Application>
  <DocSecurity>0</DocSecurity>
  <Lines>481</Lines>
  <Paragraphs>135</Paragraphs>
  <ScaleCrop>false</ScaleCrop>
  <Company/>
  <LinksUpToDate>false</LinksUpToDate>
  <CharactersWithSpaces>67826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2022-08-10T09:36:00Z</dcterms:modified>
</cp:coreProperties>
</file>