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 xml:space="preserve">ariadenie Európskeho parlamentu a Rady (EÚ, </w:t>
      </w:r>
      <w:proofErr w:type="spellStart"/>
      <w:r w:rsidRPr="00A1156D">
        <w:rPr>
          <w:rStyle w:val="Vrazn"/>
          <w:b w:val="0"/>
        </w:rPr>
        <w:t>Euratom</w:t>
      </w:r>
      <w:proofErr w:type="spellEnd"/>
      <w:r w:rsidRPr="00A1156D">
        <w:rPr>
          <w:rStyle w:val="Vrazn"/>
          <w:b w:val="0"/>
        </w:rPr>
        <w:t>)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proofErr w:type="spellStart"/>
      <w:r w:rsidRPr="00A1156D">
        <w:rPr>
          <w:rStyle w:val="Vrazn"/>
          <w:b w:val="0"/>
        </w:rPr>
        <w:t>Euratom</w:t>
      </w:r>
      <w:proofErr w:type="spellEnd"/>
      <w:r w:rsidRPr="00A1156D">
        <w:rPr>
          <w:rStyle w:val="Vrazn"/>
          <w:b w:val="0"/>
        </w:rPr>
        <w:t>)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proofErr w:type="spellStart"/>
      <w:r w:rsidRPr="00A1156D">
        <w:rPr>
          <w:rFonts w:ascii="Times New Roman" w:hAnsi="Times New Roman"/>
          <w:lang w:val="pl-PL"/>
        </w:rPr>
        <w:t>Dočasný</w:t>
      </w:r>
      <w:proofErr w:type="spellEnd"/>
      <w:r w:rsidRPr="00A1156D">
        <w:rPr>
          <w:rFonts w:ascii="Times New Roman" w:hAnsi="Times New Roman"/>
          <w:lang w:val="pl-PL"/>
        </w:rPr>
        <w:t xml:space="preserve"> </w:t>
      </w:r>
      <w:proofErr w:type="spellStart"/>
      <w:r w:rsidRPr="00A1156D">
        <w:rPr>
          <w:rFonts w:ascii="Times New Roman" w:hAnsi="Times New Roman"/>
          <w:lang w:val="pl-PL"/>
        </w:rPr>
        <w:t>pútač</w:t>
      </w:r>
      <w:proofErr w:type="spellEnd"/>
      <w:r w:rsidRPr="00A1156D">
        <w:rPr>
          <w:rFonts w:ascii="Times New Roman" w:hAnsi="Times New Roman"/>
          <w:lang w:val="pl-PL"/>
        </w:rPr>
        <w:t xml:space="preserve">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dostatočne</w:t>
      </w:r>
      <w:proofErr w:type="spellEnd"/>
      <w:r w:rsidRPr="00A1156D">
        <w:rPr>
          <w:rFonts w:ascii="Times New Roman" w:hAnsi="Times New Roman"/>
          <w:lang w:val="pl-PL"/>
        </w:rPr>
        <w:t xml:space="preserve"> </w:t>
      </w:r>
      <w:commentRangeStart w:id="21"/>
      <w:proofErr w:type="spellStart"/>
      <w:r w:rsidRPr="00A1156D">
        <w:rPr>
          <w:rFonts w:ascii="Times New Roman" w:hAnsi="Times New Roman"/>
          <w:lang w:val="pl-PL"/>
        </w:rPr>
        <w:t>veľký</w:t>
      </w:r>
      <w:commentRangeEnd w:id="21"/>
      <w:proofErr w:type="spellEnd"/>
      <w:r w:rsidR="002D1DFA">
        <w:rPr>
          <w:rStyle w:val="Odkaznakomentr"/>
          <w:rFonts w:ascii="Times New Roman" w:eastAsia="Times New Roman" w:hAnsi="Times New Roman"/>
        </w:rPr>
        <w:commentReference w:id="21"/>
      </w:r>
      <w:r w:rsidRPr="00A1156D">
        <w:rPr>
          <w:rFonts w:ascii="Times New Roman" w:hAnsi="Times New Roman"/>
          <w:lang w:val="pl-PL"/>
        </w:rPr>
        <w:t xml:space="preserve"> a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umiestnený</w:t>
      </w:r>
      <w:proofErr w:type="spellEnd"/>
      <w:r w:rsidRPr="00A1156D">
        <w:rPr>
          <w:rFonts w:ascii="Times New Roman" w:hAnsi="Times New Roman"/>
          <w:lang w:val="pl-PL"/>
        </w:rPr>
        <w:t xml:space="preserve"> na </w:t>
      </w:r>
      <w:proofErr w:type="spellStart"/>
      <w:r w:rsidRPr="00A1156D">
        <w:rPr>
          <w:rFonts w:ascii="Times New Roman" w:hAnsi="Times New Roman"/>
          <w:lang w:val="pl-PL"/>
        </w:rPr>
        <w:t>mieste</w:t>
      </w:r>
      <w:proofErr w:type="spellEnd"/>
      <w:r w:rsidRPr="00A1156D">
        <w:rPr>
          <w:rFonts w:ascii="Times New Roman" w:hAnsi="Times New Roman"/>
          <w:lang w:val="pl-PL"/>
        </w:rPr>
        <w:t xml:space="preserve"> </w:t>
      </w:r>
      <w:proofErr w:type="spellStart"/>
      <w:r w:rsidRPr="00A1156D">
        <w:rPr>
          <w:rFonts w:ascii="Times New Roman" w:hAnsi="Times New Roman"/>
          <w:lang w:val="pl-PL"/>
        </w:rPr>
        <w:t>ľahko</w:t>
      </w:r>
      <w:proofErr w:type="spellEnd"/>
      <w:r w:rsidRPr="00A1156D">
        <w:rPr>
          <w:rFonts w:ascii="Times New Roman" w:hAnsi="Times New Roman"/>
          <w:lang w:val="pl-PL"/>
        </w:rPr>
        <w:t xml:space="preserve"> </w:t>
      </w:r>
      <w:proofErr w:type="spellStart"/>
      <w:r w:rsidRPr="00A1156D">
        <w:rPr>
          <w:rFonts w:ascii="Times New Roman" w:hAnsi="Times New Roman"/>
          <w:lang w:val="pl-PL"/>
        </w:rPr>
        <w:t>viditeľnom</w:t>
      </w:r>
      <w:proofErr w:type="spellEnd"/>
      <w:r w:rsidRPr="00A1156D">
        <w:rPr>
          <w:rFonts w:ascii="Times New Roman" w:hAnsi="Times New Roman"/>
          <w:lang w:val="pl-PL"/>
        </w:rPr>
        <w:t xml:space="preserve"> </w:t>
      </w:r>
      <w:proofErr w:type="spellStart"/>
      <w:r w:rsidRPr="00A1156D">
        <w:rPr>
          <w:rFonts w:ascii="Times New Roman" w:hAnsi="Times New Roman"/>
          <w:lang w:val="pl-PL"/>
        </w:rPr>
        <w:t>verejnosťou</w:t>
      </w:r>
      <w:proofErr w:type="spellEnd"/>
      <w:r w:rsidRPr="00A1156D">
        <w:rPr>
          <w:rFonts w:ascii="Times New Roman" w:hAnsi="Times New Roman"/>
          <w:lang w:val="pl-PL"/>
        </w:rPr>
        <w:t>.</w:t>
      </w:r>
    </w:p>
    <w:p w14:paraId="767FE648" w14:textId="6029128C"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ins w:id="22" w:author="Autor">
        <w:r w:rsidR="00BB08E2">
          <w:rPr>
            <w:rFonts w:ascii="Times New Roman" w:hAnsi="Times New Roman"/>
          </w:rPr>
          <w:t>12</w:t>
        </w:r>
      </w:ins>
      <w:del w:id="23" w:author="Autor">
        <w:r w:rsidR="00687BC3" w:rsidDel="00BB08E2">
          <w:rPr>
            <w:rFonts w:ascii="Times New Roman" w:hAnsi="Times New Roman"/>
          </w:rPr>
          <w:delText>8</w:delText>
        </w:r>
      </w:del>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4"/>
      <w:r w:rsidRPr="00A1156D">
        <w:rPr>
          <w:rFonts w:ascii="Times New Roman" w:hAnsi="Times New Roman"/>
          <w:sz w:val="22"/>
          <w:szCs w:val="22"/>
        </w:rPr>
        <w:t>VLASTNÍCTVO A POUŽITIE VÝSTUPOV</w:t>
      </w:r>
      <w:commentRangeEnd w:id="24"/>
      <w:r w:rsidR="00800067">
        <w:rPr>
          <w:rStyle w:val="Odkaznakomentr"/>
          <w:rFonts w:ascii="Times New Roman" w:hAnsi="Times New Roman"/>
          <w:b w:val="0"/>
          <w:bCs w:val="0"/>
        </w:rPr>
        <w:commentReference w:id="24"/>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5"/>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5"/>
      <w:r w:rsidR="0055539C" w:rsidRPr="00A1156D">
        <w:rPr>
          <w:rStyle w:val="Odkaznakomentr"/>
          <w:rFonts w:ascii="Times New Roman" w:eastAsia="Times New Roman" w:hAnsi="Times New Roman"/>
          <w:sz w:val="22"/>
          <w:szCs w:val="22"/>
        </w:rPr>
        <w:commentReference w:id="25"/>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6"/>
      <w:r w:rsidRPr="00A1156D">
        <w:rPr>
          <w:rFonts w:ascii="Times New Roman" w:hAnsi="Times New Roman"/>
          <w:bCs/>
        </w:rPr>
        <w:t>vytvorenie alebo zabezpečenie vytvorenia diela alebo iného práva duševného vlastníctva (vrátane priemyselného vlastníctva) pre Projekt</w:t>
      </w:r>
      <w:commentRangeEnd w:id="26"/>
      <w:r w:rsidR="00EE1A37" w:rsidRPr="00A1156D">
        <w:rPr>
          <w:rStyle w:val="Odkaznakomentr"/>
          <w:rFonts w:ascii="Times New Roman" w:hAnsi="Times New Roman"/>
          <w:sz w:val="22"/>
          <w:szCs w:val="22"/>
        </w:rPr>
        <w:commentReference w:id="26"/>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7"/>
      <w:r w:rsidR="00F40BFB">
        <w:rPr>
          <w:rFonts w:ascii="Times New Roman" w:hAnsi="Times New Roman"/>
        </w:rPr>
        <w:t xml:space="preserve">akceptovaní alebo schválení </w:t>
      </w:r>
      <w:commentRangeEnd w:id="27"/>
      <w:r w:rsidR="00F40BFB">
        <w:rPr>
          <w:rStyle w:val="Odkaznakomentr"/>
          <w:rFonts w:ascii="Times New Roman" w:eastAsia="Times New Roman" w:hAnsi="Times New Roman"/>
          <w:lang w:val="x-none" w:eastAsia="x-none"/>
        </w:rPr>
        <w:commentReference w:id="27"/>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8"/>
      <w:r w:rsidRPr="00A1156D">
        <w:rPr>
          <w:rFonts w:ascii="Times New Roman" w:hAnsi="Times New Roman"/>
          <w:bCs/>
        </w:rPr>
        <w:t xml:space="preserve">od nadobudnutia účinnosti Zmluvy o poskytnutí NFP </w:t>
      </w:r>
      <w:commentRangeEnd w:id="28"/>
      <w:r w:rsidR="00117A61" w:rsidRPr="00A1156D">
        <w:rPr>
          <w:rStyle w:val="Odkaznakomentr"/>
          <w:rFonts w:ascii="Times New Roman" w:hAnsi="Times New Roman"/>
          <w:sz w:val="22"/>
          <w:szCs w:val="22"/>
        </w:rPr>
        <w:commentReference w:id="28"/>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9"/>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9"/>
      <w:r w:rsidRPr="00A1156D">
        <w:rPr>
          <w:rStyle w:val="Odkaznakomentr"/>
          <w:sz w:val="22"/>
          <w:szCs w:val="22"/>
        </w:rPr>
        <w:commentReference w:id="29"/>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0AFC954"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del w:id="30" w:author="Autor">
        <w:r w:rsidRPr="00A1156D" w:rsidDel="00A155E5">
          <w:rPr>
            <w:rFonts w:ascii="Times New Roman" w:hAnsi="Times New Roman"/>
            <w:lang w:eastAsia="sk-SK"/>
          </w:rPr>
          <w:delText xml:space="preserve">V prípade vzniku povinnosti odvodu výnosu podľa </w:delText>
        </w:r>
        <w:r w:rsidR="00AA2FB0" w:rsidRPr="00A1156D" w:rsidDel="00A155E5">
          <w:rPr>
            <w:rFonts w:ascii="Times New Roman" w:hAnsi="Times New Roman"/>
            <w:lang w:eastAsia="sk-SK"/>
          </w:rPr>
          <w:delText xml:space="preserve">odseku </w:delText>
        </w:r>
        <w:r w:rsidRPr="00A1156D" w:rsidDel="00A155E5">
          <w:rPr>
            <w:rFonts w:ascii="Times New Roman" w:hAnsi="Times New Roman"/>
            <w:lang w:eastAsia="sk-SK"/>
          </w:rPr>
          <w:delText>1 písm</w:delText>
        </w:r>
        <w:r w:rsidR="001D3560" w:rsidRPr="00A1156D" w:rsidDel="00A155E5">
          <w:rPr>
            <w:rFonts w:ascii="Times New Roman" w:hAnsi="Times New Roman"/>
            <w:lang w:eastAsia="sk-SK"/>
          </w:rPr>
          <w:delText>eno</w:delText>
        </w:r>
        <w:r w:rsidRPr="00A1156D" w:rsidDel="00A155E5">
          <w:rPr>
            <w:rFonts w:ascii="Times New Roman" w:hAnsi="Times New Roman"/>
            <w:lang w:eastAsia="sk-SK"/>
          </w:rPr>
          <w:delText xml:space="preserve"> </w:delText>
        </w:r>
        <w:r w:rsidR="00067253" w:rsidRPr="00A1156D" w:rsidDel="00A155E5">
          <w:rPr>
            <w:rFonts w:ascii="Times New Roman" w:hAnsi="Times New Roman"/>
            <w:lang w:eastAsia="sk-SK"/>
          </w:rPr>
          <w:delText>i</w:delText>
        </w:r>
        <w:r w:rsidRPr="00A1156D" w:rsidDel="00A155E5">
          <w:rPr>
            <w:rFonts w:ascii="Times New Roman" w:hAnsi="Times New Roman"/>
            <w:lang w:eastAsia="sk-SK"/>
          </w:rPr>
          <w:delText xml:space="preserve">) tohto článku sa Prijímateľ zaväzuje odviesť výnos do 31. </w:delText>
        </w:r>
        <w:r w:rsidR="00A377E2" w:rsidDel="00A155E5">
          <w:rPr>
            <w:rFonts w:ascii="Times New Roman" w:hAnsi="Times New Roman"/>
            <w:lang w:eastAsia="sk-SK"/>
          </w:rPr>
          <w:delText>01.</w:delText>
        </w:r>
        <w:r w:rsidR="00A377E2" w:rsidRPr="00A1156D" w:rsidDel="00A155E5">
          <w:rPr>
            <w:rFonts w:ascii="Times New Roman" w:hAnsi="Times New Roman"/>
            <w:lang w:eastAsia="sk-SK"/>
          </w:rPr>
          <w:delText xml:space="preserve"> </w:delText>
        </w:r>
        <w:r w:rsidRPr="00A1156D" w:rsidDel="00A155E5">
          <w:rPr>
            <w:rFonts w:ascii="Times New Roman" w:hAnsi="Times New Roman"/>
            <w:lang w:eastAsia="sk-SK"/>
          </w:rPr>
          <w:delText xml:space="preserve">roku nasledujúceho po roku, v ktorom vznikol výnos. </w:delText>
        </w:r>
      </w:del>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w:t>
      </w:r>
      <w:r w:rsidRPr="00A1156D">
        <w:rPr>
          <w:rFonts w:ascii="Times New Roman" w:hAnsi="Times New Roman"/>
          <w:lang w:eastAsia="sk-SK"/>
        </w:rPr>
        <w:lastRenderedPageBreak/>
        <w:t>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lastRenderedPageBreak/>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31"/>
      <w:commentRangeEnd w:id="31"/>
      <w:r>
        <w:rPr>
          <w:rStyle w:val="Odkaznakomentr"/>
          <w:rFonts w:ascii="Times New Roman" w:eastAsia="Times New Roman" w:hAnsi="Times New Roman"/>
        </w:rPr>
        <w:commentReference w:id="31"/>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 xml:space="preserve">rojektu pri zápisoch v nich, pričom na vedenie tejto evidencie, preukazovanie zápisov a spôsob oceňovania </w:t>
      </w:r>
      <w:r w:rsidRPr="00A1156D">
        <w:rPr>
          <w:rFonts w:ascii="Times New Roman" w:hAnsi="Times New Roman"/>
          <w:lang w:eastAsia="sk-SK"/>
        </w:rPr>
        <w:lastRenderedPageBreak/>
        <w:t>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2"/>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2"/>
      <w:r w:rsidRPr="000B7D53">
        <w:rPr>
          <w:rStyle w:val="Odkaznakomentr"/>
          <w:rFonts w:ascii="Times New Roman" w:eastAsia="Times New Roman" w:hAnsi="Times New Roman"/>
          <w:sz w:val="22"/>
          <w:szCs w:val="22"/>
          <w:lang w:val="x-none" w:eastAsia="x-none"/>
        </w:rPr>
        <w:commentReference w:id="32"/>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lastRenderedPageBreak/>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3"/>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3"/>
      <w:r w:rsidRPr="006055EE">
        <w:rPr>
          <w:rStyle w:val="Odkaznakomentr"/>
          <w:sz w:val="22"/>
          <w:szCs w:val="22"/>
          <w:lang w:val="x-none" w:eastAsia="x-none"/>
        </w:rPr>
        <w:commentReference w:id="33"/>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w:t>
      </w:r>
      <w:r w:rsidRPr="006055EE">
        <w:rPr>
          <w:sz w:val="22"/>
          <w:szCs w:val="22"/>
        </w:rPr>
        <w:lastRenderedPageBreak/>
        <w:t>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4"/>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4"/>
      <w:r w:rsidR="00F2106D" w:rsidRPr="00A1156D">
        <w:rPr>
          <w:rStyle w:val="Odkaznakomentr"/>
          <w:rFonts w:ascii="Times New Roman" w:hAnsi="Times New Roman"/>
          <w:sz w:val="22"/>
          <w:szCs w:val="22"/>
        </w:rPr>
        <w:commentReference w:id="34"/>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w:t>
      </w:r>
      <w:r w:rsidRPr="00A1156D">
        <w:rPr>
          <w:rFonts w:ascii="Times New Roman" w:hAnsi="Times New Roman"/>
          <w:lang w:eastAsia="sk-SK"/>
        </w:rPr>
        <w:lastRenderedPageBreak/>
        <w:t xml:space="preserve">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5"/>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5"/>
      <w:r w:rsidR="00492601">
        <w:rPr>
          <w:rStyle w:val="Odkaznakomentr"/>
          <w:rFonts w:ascii="Times New Roman" w:eastAsia="Times New Roman" w:hAnsi="Times New Roman"/>
        </w:rPr>
        <w:commentReference w:id="35"/>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w:t>
      </w:r>
      <w:r w:rsidR="008B1DAE" w:rsidRPr="00A1156D">
        <w:rPr>
          <w:rFonts w:ascii="Times New Roman" w:hAnsi="Times New Roman"/>
          <w:lang w:eastAsia="sk-SK"/>
        </w:rPr>
        <w:lastRenderedPageBreak/>
        <w:t>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27BC4F23"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6"/>
      <w:del w:id="37" w:author="Autor">
        <w:r w:rsidR="001029F9" w:rsidDel="003141EC">
          <w:rPr>
            <w:rFonts w:ascii="Times New Roman" w:hAnsi="Times New Roman"/>
          </w:rPr>
          <w:delText>ôsm</w:delText>
        </w:r>
      </w:del>
      <w:ins w:id="38" w:author="Autor">
        <w:r w:rsidR="003141EC">
          <w:rPr>
            <w:rFonts w:ascii="Times New Roman" w:hAnsi="Times New Roman"/>
          </w:rPr>
          <w:t>dvanást</w:t>
        </w:r>
      </w:ins>
      <w:r w:rsidR="001029F9">
        <w:rPr>
          <w:rFonts w:ascii="Times New Roman" w:hAnsi="Times New Roman"/>
        </w:rPr>
        <w:t xml:space="preserve">ich </w:t>
      </w:r>
      <w:r w:rsidRPr="00A1156D">
        <w:rPr>
          <w:rFonts w:ascii="Times New Roman" w:hAnsi="Times New Roman"/>
        </w:rPr>
        <w:t xml:space="preserve">mesiacov </w:t>
      </w:r>
      <w:commentRangeEnd w:id="36"/>
      <w:r w:rsidR="000836FA" w:rsidRPr="00A1156D">
        <w:rPr>
          <w:rStyle w:val="Odkaznakomentr"/>
          <w:rFonts w:ascii="Times New Roman" w:eastAsia="Times New Roman" w:hAnsi="Times New Roman"/>
          <w:sz w:val="22"/>
          <w:szCs w:val="22"/>
        </w:rPr>
        <w:commentReference w:id="36"/>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9"/>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9"/>
      <w:r w:rsidR="00492601">
        <w:rPr>
          <w:rStyle w:val="Odkaznakomentr"/>
          <w:rFonts w:ascii="Times New Roman" w:eastAsia="Times New Roman" w:hAnsi="Times New Roman"/>
        </w:rPr>
        <w:commentReference w:id="39"/>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0"/>
      <w:r w:rsidRPr="00A1156D">
        <w:rPr>
          <w:rFonts w:ascii="Times New Roman" w:hAnsi="Times New Roman"/>
          <w:bCs/>
        </w:rPr>
        <w:t>ktorý je nový,</w:t>
      </w:r>
      <w:commentRangeEnd w:id="40"/>
      <w:r w:rsidR="00993ADD">
        <w:rPr>
          <w:rStyle w:val="Odkaznakomentr"/>
          <w:rFonts w:ascii="Times New Roman" w:eastAsia="Times New Roman" w:hAnsi="Times New Roman"/>
        </w:rPr>
        <w:commentReference w:id="40"/>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 xml:space="preserve">môže byť automaticky </w:t>
      </w:r>
      <w:r w:rsidRPr="00A1156D">
        <w:rPr>
          <w:rFonts w:ascii="Times New Roman" w:hAnsi="Times New Roman"/>
        </w:rPr>
        <w:lastRenderedPageBreak/>
        <w:t>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4"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5"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6"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7"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8"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9"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1"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2"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3"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4"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5"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6"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9"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40"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35D02" w14:textId="77777777" w:rsidR="007C3DF2" w:rsidRDefault="007C3DF2" w:rsidP="00107570">
      <w:pPr>
        <w:spacing w:after="0" w:line="240" w:lineRule="auto"/>
      </w:pPr>
      <w:r>
        <w:separator/>
      </w:r>
    </w:p>
  </w:endnote>
  <w:endnote w:type="continuationSeparator" w:id="0">
    <w:p w14:paraId="4432BEA5" w14:textId="77777777" w:rsidR="007C3DF2" w:rsidRDefault="007C3DF2" w:rsidP="00107570">
      <w:pPr>
        <w:spacing w:after="0" w:line="240" w:lineRule="auto"/>
      </w:pPr>
      <w:r>
        <w:continuationSeparator/>
      </w:r>
    </w:p>
  </w:endnote>
  <w:endnote w:type="continuationNotice" w:id="1">
    <w:p w14:paraId="4FA9605D" w14:textId="77777777" w:rsidR="007C3DF2" w:rsidRDefault="007C3D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B15F752"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1029F9">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1029F9">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494F5" w14:textId="77777777" w:rsidR="007C3DF2" w:rsidRDefault="007C3DF2" w:rsidP="00107570">
      <w:pPr>
        <w:spacing w:after="0" w:line="240" w:lineRule="auto"/>
      </w:pPr>
      <w:r>
        <w:separator/>
      </w:r>
    </w:p>
  </w:footnote>
  <w:footnote w:type="continuationSeparator" w:id="0">
    <w:p w14:paraId="42E8DD95" w14:textId="77777777" w:rsidR="007C3DF2" w:rsidRDefault="007C3DF2" w:rsidP="00107570">
      <w:pPr>
        <w:spacing w:after="0" w:line="240" w:lineRule="auto"/>
      </w:pPr>
      <w:r>
        <w:continuationSeparator/>
      </w:r>
    </w:p>
  </w:footnote>
  <w:footnote w:type="continuationNotice" w:id="1">
    <w:p w14:paraId="05AEA4E4" w14:textId="77777777" w:rsidR="007C3DF2" w:rsidRDefault="007C3DF2">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567688581">
    <w:abstractNumId w:val="34"/>
  </w:num>
  <w:num w:numId="2" w16cid:durableId="1231690542">
    <w:abstractNumId w:val="35"/>
  </w:num>
  <w:num w:numId="3" w16cid:durableId="1624533436">
    <w:abstractNumId w:val="11"/>
  </w:num>
  <w:num w:numId="4" w16cid:durableId="709575191">
    <w:abstractNumId w:val="63"/>
  </w:num>
  <w:num w:numId="5" w16cid:durableId="1596784726">
    <w:abstractNumId w:val="3"/>
  </w:num>
  <w:num w:numId="6" w16cid:durableId="518200641">
    <w:abstractNumId w:val="49"/>
  </w:num>
  <w:num w:numId="7" w16cid:durableId="1054548714">
    <w:abstractNumId w:val="54"/>
  </w:num>
  <w:num w:numId="8" w16cid:durableId="1695110500">
    <w:abstractNumId w:val="70"/>
  </w:num>
  <w:num w:numId="9" w16cid:durableId="1395085861">
    <w:abstractNumId w:val="14"/>
  </w:num>
  <w:num w:numId="10" w16cid:durableId="1387144555">
    <w:abstractNumId w:val="44"/>
  </w:num>
  <w:num w:numId="11" w16cid:durableId="1247492887">
    <w:abstractNumId w:val="4"/>
  </w:num>
  <w:num w:numId="12" w16cid:durableId="2081713546">
    <w:abstractNumId w:val="32"/>
  </w:num>
  <w:num w:numId="13" w16cid:durableId="668868297">
    <w:abstractNumId w:val="41"/>
  </w:num>
  <w:num w:numId="14" w16cid:durableId="1743945007">
    <w:abstractNumId w:val="23"/>
  </w:num>
  <w:num w:numId="15" w16cid:durableId="1382898181">
    <w:abstractNumId w:val="39"/>
  </w:num>
  <w:num w:numId="16" w16cid:durableId="963077800">
    <w:abstractNumId w:val="17"/>
  </w:num>
  <w:num w:numId="17" w16cid:durableId="1553230409">
    <w:abstractNumId w:val="26"/>
  </w:num>
  <w:num w:numId="18" w16cid:durableId="835222653">
    <w:abstractNumId w:val="15"/>
  </w:num>
  <w:num w:numId="19" w16cid:durableId="1051460343">
    <w:abstractNumId w:val="65"/>
  </w:num>
  <w:num w:numId="20" w16cid:durableId="1529875470">
    <w:abstractNumId w:val="62"/>
  </w:num>
  <w:num w:numId="21" w16cid:durableId="246496248">
    <w:abstractNumId w:val="42"/>
  </w:num>
  <w:num w:numId="22" w16cid:durableId="14057629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082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9717833">
    <w:abstractNumId w:val="70"/>
  </w:num>
  <w:num w:numId="25" w16cid:durableId="4039935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3645000">
    <w:abstractNumId w:val="13"/>
  </w:num>
  <w:num w:numId="27" w16cid:durableId="617444443">
    <w:abstractNumId w:val="7"/>
  </w:num>
  <w:num w:numId="28" w16cid:durableId="522204414">
    <w:abstractNumId w:val="12"/>
  </w:num>
  <w:num w:numId="29" w16cid:durableId="220407087">
    <w:abstractNumId w:val="36"/>
  </w:num>
  <w:num w:numId="30" w16cid:durableId="607928495">
    <w:abstractNumId w:val="69"/>
  </w:num>
  <w:num w:numId="31" w16cid:durableId="235867028">
    <w:abstractNumId w:val="43"/>
  </w:num>
  <w:num w:numId="32" w16cid:durableId="232859954">
    <w:abstractNumId w:val="57"/>
  </w:num>
  <w:num w:numId="33" w16cid:durableId="574360621">
    <w:abstractNumId w:val="56"/>
  </w:num>
  <w:num w:numId="34" w16cid:durableId="217866818">
    <w:abstractNumId w:val="52"/>
  </w:num>
  <w:num w:numId="35" w16cid:durableId="254436470">
    <w:abstractNumId w:val="47"/>
  </w:num>
  <w:num w:numId="36" w16cid:durableId="2050110615">
    <w:abstractNumId w:val="53"/>
  </w:num>
  <w:num w:numId="37" w16cid:durableId="1198397478">
    <w:abstractNumId w:val="30"/>
  </w:num>
  <w:num w:numId="38" w16cid:durableId="44377628">
    <w:abstractNumId w:val="27"/>
  </w:num>
  <w:num w:numId="39" w16cid:durableId="346293882">
    <w:abstractNumId w:val="9"/>
  </w:num>
  <w:num w:numId="40" w16cid:durableId="182212423">
    <w:abstractNumId w:val="58"/>
  </w:num>
  <w:num w:numId="41" w16cid:durableId="696613756">
    <w:abstractNumId w:val="71"/>
  </w:num>
  <w:num w:numId="42" w16cid:durableId="1984649956">
    <w:abstractNumId w:val="55"/>
  </w:num>
  <w:num w:numId="43" w16cid:durableId="745496945">
    <w:abstractNumId w:val="51"/>
  </w:num>
  <w:num w:numId="44" w16cid:durableId="2034109505">
    <w:abstractNumId w:val="64"/>
  </w:num>
  <w:num w:numId="45" w16cid:durableId="1341658740">
    <w:abstractNumId w:val="38"/>
  </w:num>
  <w:num w:numId="46" w16cid:durableId="841822482">
    <w:abstractNumId w:val="8"/>
  </w:num>
  <w:num w:numId="47" w16cid:durableId="539897498">
    <w:abstractNumId w:val="21"/>
  </w:num>
  <w:num w:numId="48" w16cid:durableId="1496065929">
    <w:abstractNumId w:val="10"/>
  </w:num>
  <w:num w:numId="49" w16cid:durableId="1391491621">
    <w:abstractNumId w:val="22"/>
  </w:num>
  <w:num w:numId="50" w16cid:durableId="569119315">
    <w:abstractNumId w:val="1"/>
  </w:num>
  <w:num w:numId="51" w16cid:durableId="929238483">
    <w:abstractNumId w:val="33"/>
  </w:num>
  <w:num w:numId="52" w16cid:durableId="1093862211">
    <w:abstractNumId w:val="44"/>
  </w:num>
  <w:num w:numId="53" w16cid:durableId="1688019232">
    <w:abstractNumId w:val="60"/>
  </w:num>
  <w:num w:numId="54" w16cid:durableId="1853448686">
    <w:abstractNumId w:val="66"/>
  </w:num>
  <w:num w:numId="55" w16cid:durableId="1712807088">
    <w:abstractNumId w:val="24"/>
  </w:num>
  <w:num w:numId="56" w16cid:durableId="133764240">
    <w:abstractNumId w:val="45"/>
  </w:num>
  <w:num w:numId="57" w16cid:durableId="1394237323">
    <w:abstractNumId w:val="20"/>
  </w:num>
  <w:num w:numId="58" w16cid:durableId="1036658743">
    <w:abstractNumId w:val="25"/>
  </w:num>
  <w:num w:numId="59" w16cid:durableId="88162587">
    <w:abstractNumId w:val="40"/>
  </w:num>
  <w:num w:numId="60" w16cid:durableId="1631398342">
    <w:abstractNumId w:val="67"/>
  </w:num>
  <w:num w:numId="61" w16cid:durableId="1349059306">
    <w:abstractNumId w:val="16"/>
  </w:num>
  <w:num w:numId="62" w16cid:durableId="423113993">
    <w:abstractNumId w:val="29"/>
  </w:num>
  <w:num w:numId="63" w16cid:durableId="414789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91808360">
    <w:abstractNumId w:val="6"/>
  </w:num>
  <w:num w:numId="65" w16cid:durableId="157578211">
    <w:abstractNumId w:val="5"/>
  </w:num>
  <w:num w:numId="66" w16cid:durableId="1070420597">
    <w:abstractNumId w:val="37"/>
  </w:num>
  <w:num w:numId="67" w16cid:durableId="1400598497">
    <w:abstractNumId w:val="0"/>
  </w:num>
  <w:num w:numId="68" w16cid:durableId="1169325629">
    <w:abstractNumId w:val="44"/>
  </w:num>
  <w:num w:numId="69" w16cid:durableId="407268969">
    <w:abstractNumId w:val="44"/>
  </w:num>
  <w:num w:numId="70" w16cid:durableId="1114209200">
    <w:abstractNumId w:val="31"/>
  </w:num>
  <w:num w:numId="71" w16cid:durableId="564296425">
    <w:abstractNumId w:val="61"/>
  </w:num>
  <w:num w:numId="72" w16cid:durableId="1456100879">
    <w:abstractNumId w:val="59"/>
  </w:num>
  <w:num w:numId="73" w16cid:durableId="265161115">
    <w:abstractNumId w:val="28"/>
  </w:num>
  <w:num w:numId="74" w16cid:durableId="1641350523">
    <w:abstractNumId w:val="68"/>
  </w:num>
  <w:num w:numId="75" w16cid:durableId="674116573">
    <w:abstractNumId w:val="18"/>
  </w:num>
  <w:num w:numId="76" w16cid:durableId="1625891755">
    <w:abstractNumId w:val="2"/>
  </w:num>
  <w:num w:numId="77" w16cid:durableId="141944851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6B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9F9"/>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1EC"/>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87BC3"/>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20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3DF2"/>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5E5"/>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08E2"/>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06CA"/>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5B68-F766-4242-85FE-803A3402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26269</Words>
  <Characters>149739</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2023-03-24T12:18:00Z</dcterms:modified>
</cp:coreProperties>
</file>