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1"/>
      <w:r w:rsidRPr="00A1156D">
        <w:rPr>
          <w:rFonts w:ascii="Times New Roman" w:hAnsi="Times New Roman"/>
          <w:lang w:val="pl-PL"/>
        </w:rPr>
        <w:t>veľký</w:t>
      </w:r>
      <w:commentRangeEnd w:id="21"/>
      <w:r w:rsidR="002D1DFA">
        <w:rPr>
          <w:rStyle w:val="Odkaznakomentr"/>
          <w:rFonts w:ascii="Times New Roman" w:eastAsia="Times New Roman" w:hAnsi="Times New Roman"/>
        </w:rPr>
        <w:commentReference w:id="21"/>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2"/>
      <w:r w:rsidRPr="00A1156D">
        <w:rPr>
          <w:rFonts w:ascii="Times New Roman" w:hAnsi="Times New Roman"/>
          <w:sz w:val="22"/>
          <w:szCs w:val="22"/>
        </w:rPr>
        <w:t>VLASTNÍCTVO A POUŽITIE VÝSTUPOV</w:t>
      </w:r>
      <w:commentRangeEnd w:id="22"/>
      <w:r w:rsidR="00800067">
        <w:rPr>
          <w:rStyle w:val="Odkaznakomentr"/>
          <w:rFonts w:ascii="Times New Roman" w:hAnsi="Times New Roman"/>
          <w:b w:val="0"/>
          <w:bCs w:val="0"/>
        </w:rPr>
        <w:commentReference w:id="2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3"/>
      <w:r w:rsidR="0055539C" w:rsidRPr="00A1156D">
        <w:rPr>
          <w:rStyle w:val="Odkaznakomentr"/>
          <w:rFonts w:ascii="Times New Roman" w:eastAsia="Times New Roman" w:hAnsi="Times New Roman"/>
          <w:sz w:val="22"/>
          <w:szCs w:val="22"/>
        </w:rPr>
        <w:commentReference w:id="2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4"/>
      <w:r w:rsidRPr="00A1156D">
        <w:rPr>
          <w:rFonts w:ascii="Times New Roman" w:hAnsi="Times New Roman"/>
          <w:bCs/>
        </w:rPr>
        <w:t>vytvorenie alebo zabezpečenie vytvorenia diela alebo iného práva duševného vlastníctva (vrátane priemyselného vlastníctva) pre Projekt</w:t>
      </w:r>
      <w:commentRangeEnd w:id="24"/>
      <w:r w:rsidR="00EE1A37" w:rsidRPr="00A1156D">
        <w:rPr>
          <w:rStyle w:val="Odkaznakomentr"/>
          <w:rFonts w:ascii="Times New Roman" w:hAnsi="Times New Roman"/>
          <w:sz w:val="22"/>
          <w:szCs w:val="22"/>
        </w:rPr>
        <w:commentReference w:id="2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7"/>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7"/>
      <w:r w:rsidRPr="00A1156D">
        <w:rPr>
          <w:rStyle w:val="Odkaznakomentr"/>
          <w:sz w:val="22"/>
          <w:szCs w:val="22"/>
        </w:rPr>
        <w:commentReference w:id="27"/>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5E5A9131"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del w:id="28" w:author="Autor">
        <w:r w:rsidRPr="00A1156D" w:rsidDel="00D73713">
          <w:rPr>
            <w:rFonts w:ascii="Times New Roman" w:hAnsi="Times New Roman"/>
            <w:lang w:eastAsia="sk-SK"/>
          </w:rPr>
          <w:delText xml:space="preserve">V prípade vzniku povinnosti odvodu výnosu podľa </w:delText>
        </w:r>
        <w:r w:rsidR="00AA2FB0" w:rsidRPr="00A1156D" w:rsidDel="00D73713">
          <w:rPr>
            <w:rFonts w:ascii="Times New Roman" w:hAnsi="Times New Roman"/>
            <w:lang w:eastAsia="sk-SK"/>
          </w:rPr>
          <w:delText xml:space="preserve">odseku </w:delText>
        </w:r>
        <w:r w:rsidRPr="00A1156D" w:rsidDel="00D73713">
          <w:rPr>
            <w:rFonts w:ascii="Times New Roman" w:hAnsi="Times New Roman"/>
            <w:lang w:eastAsia="sk-SK"/>
          </w:rPr>
          <w:delText>1 písm</w:delText>
        </w:r>
        <w:r w:rsidR="001D3560" w:rsidRPr="00A1156D" w:rsidDel="00D73713">
          <w:rPr>
            <w:rFonts w:ascii="Times New Roman" w:hAnsi="Times New Roman"/>
            <w:lang w:eastAsia="sk-SK"/>
          </w:rPr>
          <w:delText>eno</w:delText>
        </w:r>
        <w:r w:rsidRPr="00A1156D" w:rsidDel="00D73713">
          <w:rPr>
            <w:rFonts w:ascii="Times New Roman" w:hAnsi="Times New Roman"/>
            <w:lang w:eastAsia="sk-SK"/>
          </w:rPr>
          <w:delText xml:space="preserve"> </w:delText>
        </w:r>
        <w:r w:rsidR="00067253" w:rsidRPr="00A1156D" w:rsidDel="00D73713">
          <w:rPr>
            <w:rFonts w:ascii="Times New Roman" w:hAnsi="Times New Roman"/>
            <w:lang w:eastAsia="sk-SK"/>
          </w:rPr>
          <w:delText>i</w:delText>
        </w:r>
        <w:r w:rsidRPr="00A1156D" w:rsidDel="00D73713">
          <w:rPr>
            <w:rFonts w:ascii="Times New Roman" w:hAnsi="Times New Roman"/>
            <w:lang w:eastAsia="sk-SK"/>
          </w:rPr>
          <w:delText xml:space="preserve">) tohto článku sa Prijímateľ zaväzuje odviesť výnos do 31. </w:delText>
        </w:r>
        <w:r w:rsidR="00A377E2" w:rsidDel="00D73713">
          <w:rPr>
            <w:rFonts w:ascii="Times New Roman" w:hAnsi="Times New Roman"/>
            <w:lang w:eastAsia="sk-SK"/>
          </w:rPr>
          <w:delText>01.</w:delText>
        </w:r>
        <w:r w:rsidR="00A377E2" w:rsidRPr="00A1156D" w:rsidDel="00D73713">
          <w:rPr>
            <w:rFonts w:ascii="Times New Roman" w:hAnsi="Times New Roman"/>
            <w:lang w:eastAsia="sk-SK"/>
          </w:rPr>
          <w:delText xml:space="preserve"> </w:delText>
        </w:r>
        <w:r w:rsidRPr="00A1156D" w:rsidDel="00D73713">
          <w:rPr>
            <w:rFonts w:ascii="Times New Roman" w:hAnsi="Times New Roman"/>
            <w:lang w:eastAsia="sk-SK"/>
          </w:rPr>
          <w:delText xml:space="preserve">roku nasledujúceho po roku, v ktorom vznikol výnos. </w:delText>
        </w:r>
      </w:del>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w:t>
      </w:r>
      <w:r w:rsidRPr="00A1156D">
        <w:rPr>
          <w:rFonts w:ascii="Times New Roman" w:hAnsi="Times New Roman"/>
          <w:lang w:eastAsia="sk-SK"/>
        </w:rPr>
        <w:lastRenderedPageBreak/>
        <w:t>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lastRenderedPageBreak/>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9"/>
      <w:commentRangeEnd w:id="29"/>
      <w:r>
        <w:rPr>
          <w:rStyle w:val="Odkaznakomentr"/>
          <w:rFonts w:ascii="Times New Roman" w:eastAsia="Times New Roman" w:hAnsi="Times New Roman"/>
        </w:rPr>
        <w:commentReference w:id="29"/>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w:t>
      </w:r>
      <w:r w:rsidRPr="00A1156D">
        <w:rPr>
          <w:rFonts w:ascii="Times New Roman" w:hAnsi="Times New Roman"/>
          <w:lang w:eastAsia="sk-SK"/>
        </w:rPr>
        <w:lastRenderedPageBreak/>
        <w:t>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0"/>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0"/>
      <w:r w:rsidRPr="000B7D53">
        <w:rPr>
          <w:rStyle w:val="Odkaznakomentr"/>
          <w:rFonts w:ascii="Times New Roman" w:eastAsia="Times New Roman" w:hAnsi="Times New Roman"/>
          <w:sz w:val="22"/>
          <w:szCs w:val="22"/>
          <w:lang w:val="x-none" w:eastAsia="x-none"/>
        </w:rPr>
        <w:commentReference w:id="30"/>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lastRenderedPageBreak/>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1"/>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1"/>
      <w:r w:rsidRPr="006055EE">
        <w:rPr>
          <w:rStyle w:val="Odkaznakomentr"/>
          <w:sz w:val="22"/>
          <w:szCs w:val="22"/>
          <w:lang w:val="x-none" w:eastAsia="x-none"/>
        </w:rPr>
        <w:commentReference w:id="31"/>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w:t>
      </w:r>
      <w:r w:rsidRPr="006055EE">
        <w:rPr>
          <w:sz w:val="22"/>
          <w:szCs w:val="22"/>
        </w:rPr>
        <w:lastRenderedPageBreak/>
        <w:t>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2"/>
      <w:r w:rsidR="00F2106D" w:rsidRPr="00A1156D">
        <w:rPr>
          <w:rStyle w:val="Odkaznakomentr"/>
          <w:rFonts w:ascii="Times New Roman" w:hAnsi="Times New Roman"/>
          <w:sz w:val="22"/>
          <w:szCs w:val="22"/>
        </w:rPr>
        <w:commentReference w:id="32"/>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w:t>
      </w:r>
      <w:r w:rsidRPr="00A1156D">
        <w:rPr>
          <w:rFonts w:ascii="Times New Roman" w:hAnsi="Times New Roman"/>
          <w:lang w:eastAsia="sk-SK"/>
        </w:rPr>
        <w:lastRenderedPageBreak/>
        <w:t xml:space="preserve">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3"/>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3"/>
      <w:r w:rsidR="00492601">
        <w:rPr>
          <w:rStyle w:val="Odkaznakomentr"/>
          <w:rFonts w:ascii="Times New Roman" w:eastAsia="Times New Roman" w:hAnsi="Times New Roman"/>
        </w:rPr>
        <w:commentReference w:id="3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w:t>
      </w:r>
      <w:r w:rsidR="008B1DAE" w:rsidRPr="00A1156D">
        <w:rPr>
          <w:rFonts w:ascii="Times New Roman" w:hAnsi="Times New Roman"/>
          <w:lang w:eastAsia="sk-SK"/>
        </w:rPr>
        <w:lastRenderedPageBreak/>
        <w:t>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4DE42AD"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4"/>
      <w:r w:rsidRPr="00A1156D">
        <w:rPr>
          <w:rFonts w:ascii="Times New Roman" w:hAnsi="Times New Roman"/>
        </w:rPr>
        <w:t xml:space="preserve">3 mesiacov </w:t>
      </w:r>
      <w:commentRangeEnd w:id="34"/>
      <w:r w:rsidR="000836FA" w:rsidRPr="00A1156D">
        <w:rPr>
          <w:rStyle w:val="Odkaznakomentr"/>
          <w:rFonts w:ascii="Times New Roman" w:eastAsia="Times New Roman" w:hAnsi="Times New Roman"/>
          <w:sz w:val="22"/>
          <w:szCs w:val="22"/>
        </w:rPr>
        <w:commentReference w:id="34"/>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5"/>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5"/>
      <w:r w:rsidR="00492601">
        <w:rPr>
          <w:rStyle w:val="Odkaznakomentr"/>
          <w:rFonts w:ascii="Times New Roman" w:eastAsia="Times New Roman" w:hAnsi="Times New Roman"/>
        </w:rPr>
        <w:commentReference w:id="35"/>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6"/>
      <w:r w:rsidRPr="00A1156D">
        <w:rPr>
          <w:rFonts w:ascii="Times New Roman" w:hAnsi="Times New Roman"/>
          <w:bCs/>
        </w:rPr>
        <w:t>ktorý je nový,</w:t>
      </w:r>
      <w:commentRangeEnd w:id="36"/>
      <w:r w:rsidR="00993ADD">
        <w:rPr>
          <w:rStyle w:val="Odkaznakomentr"/>
          <w:rFonts w:ascii="Times New Roman" w:eastAsia="Times New Roman" w:hAnsi="Times New Roman"/>
        </w:rPr>
        <w:commentReference w:id="36"/>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 xml:space="preserve">môže byť automaticky </w:t>
      </w:r>
      <w:r w:rsidRPr="00A1156D">
        <w:rPr>
          <w:rFonts w:ascii="Times New Roman" w:hAnsi="Times New Roman"/>
        </w:rPr>
        <w:lastRenderedPageBreak/>
        <w:t>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7"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9"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0"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1"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2"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3"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4"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5"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6"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421B" w14:textId="77777777" w:rsidR="00F44984" w:rsidRDefault="00F44984" w:rsidP="00107570">
      <w:pPr>
        <w:spacing w:after="0" w:line="240" w:lineRule="auto"/>
      </w:pPr>
      <w:r>
        <w:separator/>
      </w:r>
    </w:p>
  </w:endnote>
  <w:endnote w:type="continuationSeparator" w:id="0">
    <w:p w14:paraId="03E17C14" w14:textId="77777777" w:rsidR="00F44984" w:rsidRDefault="00F44984" w:rsidP="00107570">
      <w:pPr>
        <w:spacing w:after="0" w:line="240" w:lineRule="auto"/>
      </w:pPr>
      <w:r>
        <w:continuationSeparator/>
      </w:r>
    </w:p>
  </w:endnote>
  <w:endnote w:type="continuationNotice" w:id="1">
    <w:p w14:paraId="4B47230F" w14:textId="77777777" w:rsidR="00F44984" w:rsidRDefault="00F449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808DCB5"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F075F">
      <w:rPr>
        <w:b/>
        <w:bCs/>
        <w:noProof/>
        <w:sz w:val="22"/>
      </w:rPr>
      <w:t>34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F075F">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3BBDA" w14:textId="77777777" w:rsidR="00F44984" w:rsidRDefault="00F44984" w:rsidP="00107570">
      <w:pPr>
        <w:spacing w:after="0" w:line="240" w:lineRule="auto"/>
      </w:pPr>
      <w:r>
        <w:separator/>
      </w:r>
    </w:p>
  </w:footnote>
  <w:footnote w:type="continuationSeparator" w:id="0">
    <w:p w14:paraId="067D89DC" w14:textId="77777777" w:rsidR="00F44984" w:rsidRDefault="00F44984" w:rsidP="00107570">
      <w:pPr>
        <w:spacing w:after="0" w:line="240" w:lineRule="auto"/>
      </w:pPr>
      <w:r>
        <w:continuationSeparator/>
      </w:r>
    </w:p>
  </w:footnote>
  <w:footnote w:type="continuationNotice" w:id="1">
    <w:p w14:paraId="42B3493B" w14:textId="77777777" w:rsidR="00F44984" w:rsidRDefault="00F44984">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270549520">
    <w:abstractNumId w:val="34"/>
  </w:num>
  <w:num w:numId="2" w16cid:durableId="1337460348">
    <w:abstractNumId w:val="35"/>
  </w:num>
  <w:num w:numId="3" w16cid:durableId="961568507">
    <w:abstractNumId w:val="11"/>
  </w:num>
  <w:num w:numId="4" w16cid:durableId="1791439115">
    <w:abstractNumId w:val="63"/>
  </w:num>
  <w:num w:numId="5" w16cid:durableId="232084653">
    <w:abstractNumId w:val="3"/>
  </w:num>
  <w:num w:numId="6" w16cid:durableId="1431656064">
    <w:abstractNumId w:val="49"/>
  </w:num>
  <w:num w:numId="7" w16cid:durableId="2140953136">
    <w:abstractNumId w:val="54"/>
  </w:num>
  <w:num w:numId="8" w16cid:durableId="1144588761">
    <w:abstractNumId w:val="70"/>
  </w:num>
  <w:num w:numId="9" w16cid:durableId="141821165">
    <w:abstractNumId w:val="14"/>
  </w:num>
  <w:num w:numId="10" w16cid:durableId="2035569513">
    <w:abstractNumId w:val="44"/>
  </w:num>
  <w:num w:numId="11" w16cid:durableId="124933509">
    <w:abstractNumId w:val="4"/>
  </w:num>
  <w:num w:numId="12" w16cid:durableId="1978490094">
    <w:abstractNumId w:val="32"/>
  </w:num>
  <w:num w:numId="13" w16cid:durableId="2024476912">
    <w:abstractNumId w:val="41"/>
  </w:num>
  <w:num w:numId="14" w16cid:durableId="1921013601">
    <w:abstractNumId w:val="23"/>
  </w:num>
  <w:num w:numId="15" w16cid:durableId="453446423">
    <w:abstractNumId w:val="39"/>
  </w:num>
  <w:num w:numId="16" w16cid:durableId="1753963740">
    <w:abstractNumId w:val="17"/>
  </w:num>
  <w:num w:numId="17" w16cid:durableId="1473015870">
    <w:abstractNumId w:val="26"/>
  </w:num>
  <w:num w:numId="18" w16cid:durableId="1919706213">
    <w:abstractNumId w:val="15"/>
  </w:num>
  <w:num w:numId="19" w16cid:durableId="275215307">
    <w:abstractNumId w:val="65"/>
  </w:num>
  <w:num w:numId="20" w16cid:durableId="651368814">
    <w:abstractNumId w:val="62"/>
  </w:num>
  <w:num w:numId="21" w16cid:durableId="787359372">
    <w:abstractNumId w:val="42"/>
  </w:num>
  <w:num w:numId="22" w16cid:durableId="18944678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8071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0456272">
    <w:abstractNumId w:val="70"/>
  </w:num>
  <w:num w:numId="25" w16cid:durableId="3718082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8123041">
    <w:abstractNumId w:val="13"/>
  </w:num>
  <w:num w:numId="27" w16cid:durableId="1390225043">
    <w:abstractNumId w:val="7"/>
  </w:num>
  <w:num w:numId="28" w16cid:durableId="1884708857">
    <w:abstractNumId w:val="12"/>
  </w:num>
  <w:num w:numId="29" w16cid:durableId="500506994">
    <w:abstractNumId w:val="36"/>
  </w:num>
  <w:num w:numId="30" w16cid:durableId="1830515994">
    <w:abstractNumId w:val="69"/>
  </w:num>
  <w:num w:numId="31" w16cid:durableId="1591894444">
    <w:abstractNumId w:val="43"/>
  </w:num>
  <w:num w:numId="32" w16cid:durableId="1637754735">
    <w:abstractNumId w:val="57"/>
  </w:num>
  <w:num w:numId="33" w16cid:durableId="1933198174">
    <w:abstractNumId w:val="56"/>
  </w:num>
  <w:num w:numId="34" w16cid:durableId="1729914611">
    <w:abstractNumId w:val="52"/>
  </w:num>
  <w:num w:numId="35" w16cid:durableId="80681122">
    <w:abstractNumId w:val="47"/>
  </w:num>
  <w:num w:numId="36" w16cid:durableId="652758457">
    <w:abstractNumId w:val="53"/>
  </w:num>
  <w:num w:numId="37" w16cid:durableId="1476334302">
    <w:abstractNumId w:val="30"/>
  </w:num>
  <w:num w:numId="38" w16cid:durableId="957955887">
    <w:abstractNumId w:val="27"/>
  </w:num>
  <w:num w:numId="39" w16cid:durableId="116339928">
    <w:abstractNumId w:val="9"/>
  </w:num>
  <w:num w:numId="40" w16cid:durableId="1559904265">
    <w:abstractNumId w:val="58"/>
  </w:num>
  <w:num w:numId="41" w16cid:durableId="2002544925">
    <w:abstractNumId w:val="71"/>
  </w:num>
  <w:num w:numId="42" w16cid:durableId="1101757918">
    <w:abstractNumId w:val="55"/>
  </w:num>
  <w:num w:numId="43" w16cid:durableId="961151768">
    <w:abstractNumId w:val="51"/>
  </w:num>
  <w:num w:numId="44" w16cid:durableId="741758368">
    <w:abstractNumId w:val="64"/>
  </w:num>
  <w:num w:numId="45" w16cid:durableId="669868988">
    <w:abstractNumId w:val="38"/>
  </w:num>
  <w:num w:numId="46" w16cid:durableId="1906525581">
    <w:abstractNumId w:val="8"/>
  </w:num>
  <w:num w:numId="47" w16cid:durableId="1434010954">
    <w:abstractNumId w:val="21"/>
  </w:num>
  <w:num w:numId="48" w16cid:durableId="1198160138">
    <w:abstractNumId w:val="10"/>
  </w:num>
  <w:num w:numId="49" w16cid:durableId="1759979576">
    <w:abstractNumId w:val="22"/>
  </w:num>
  <w:num w:numId="50" w16cid:durableId="502865170">
    <w:abstractNumId w:val="1"/>
  </w:num>
  <w:num w:numId="51" w16cid:durableId="1059934613">
    <w:abstractNumId w:val="33"/>
  </w:num>
  <w:num w:numId="52" w16cid:durableId="202443682">
    <w:abstractNumId w:val="44"/>
  </w:num>
  <w:num w:numId="53" w16cid:durableId="1926763705">
    <w:abstractNumId w:val="60"/>
  </w:num>
  <w:num w:numId="54" w16cid:durableId="119418455">
    <w:abstractNumId w:val="66"/>
  </w:num>
  <w:num w:numId="55" w16cid:durableId="1300263775">
    <w:abstractNumId w:val="24"/>
  </w:num>
  <w:num w:numId="56" w16cid:durableId="2128040616">
    <w:abstractNumId w:val="45"/>
  </w:num>
  <w:num w:numId="57" w16cid:durableId="1256864166">
    <w:abstractNumId w:val="20"/>
  </w:num>
  <w:num w:numId="58" w16cid:durableId="1983659128">
    <w:abstractNumId w:val="25"/>
  </w:num>
  <w:num w:numId="59" w16cid:durableId="433476894">
    <w:abstractNumId w:val="40"/>
  </w:num>
  <w:num w:numId="60" w16cid:durableId="1769888007">
    <w:abstractNumId w:val="67"/>
  </w:num>
  <w:num w:numId="61" w16cid:durableId="869998058">
    <w:abstractNumId w:val="16"/>
  </w:num>
  <w:num w:numId="62" w16cid:durableId="257058488">
    <w:abstractNumId w:val="29"/>
  </w:num>
  <w:num w:numId="63" w16cid:durableId="3404754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22986795">
    <w:abstractNumId w:val="6"/>
  </w:num>
  <w:num w:numId="65" w16cid:durableId="1806122817">
    <w:abstractNumId w:val="5"/>
  </w:num>
  <w:num w:numId="66" w16cid:durableId="791825717">
    <w:abstractNumId w:val="37"/>
  </w:num>
  <w:num w:numId="67" w16cid:durableId="1048988841">
    <w:abstractNumId w:val="0"/>
  </w:num>
  <w:num w:numId="68" w16cid:durableId="606542196">
    <w:abstractNumId w:val="44"/>
  </w:num>
  <w:num w:numId="69" w16cid:durableId="669648509">
    <w:abstractNumId w:val="44"/>
  </w:num>
  <w:num w:numId="70" w16cid:durableId="348259054">
    <w:abstractNumId w:val="31"/>
  </w:num>
  <w:num w:numId="71" w16cid:durableId="1648050917">
    <w:abstractNumId w:val="61"/>
  </w:num>
  <w:num w:numId="72" w16cid:durableId="673384285">
    <w:abstractNumId w:val="59"/>
  </w:num>
  <w:num w:numId="73" w16cid:durableId="1759131724">
    <w:abstractNumId w:val="28"/>
  </w:num>
  <w:num w:numId="74" w16cid:durableId="1865946588">
    <w:abstractNumId w:val="68"/>
  </w:num>
  <w:num w:numId="75" w16cid:durableId="1233394330">
    <w:abstractNumId w:val="18"/>
  </w:num>
  <w:num w:numId="76" w16cid:durableId="1567109458">
    <w:abstractNumId w:val="2"/>
  </w:num>
  <w:num w:numId="77" w16cid:durableId="46315497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394F"/>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44DB"/>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713"/>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984"/>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0AF08-D5F9-40DE-B541-A48539DF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26267</Words>
  <Characters>149727</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2023-03-24T12:17:00Z</dcterms:modified>
</cp:coreProperties>
</file>