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05D1867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00FD7C7E">
        <w:rPr>
          <w:sz w:val="22"/>
          <w:szCs w:val="22"/>
        </w:rPr>
        <w:t xml:space="preserve">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w:t>
      </w:r>
      <w:r w:rsidR="00830A61" w:rsidRPr="00603684">
        <w:rPr>
          <w:sz w:val="22"/>
          <w:szCs w:val="22"/>
        </w:rPr>
        <w:t xml:space="preserve">do </w:t>
      </w:r>
      <w:r w:rsidR="00830A61">
        <w:rPr>
          <w:sz w:val="22"/>
          <w:szCs w:val="22"/>
        </w:rPr>
        <w:t>dvanástich</w:t>
      </w:r>
      <w:r w:rsidR="00830A61" w:rsidRPr="00603684">
        <w:rPr>
          <w:sz w:val="22"/>
          <w:szCs w:val="22"/>
        </w:rPr>
        <w:t xml:space="preserve"> 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2101D2DA"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2EFDE230" w14:textId="5E02B6D5" w:rsidR="00E31F07" w:rsidRPr="006B3BDF" w:rsidRDefault="00962E02" w:rsidP="000975A3">
      <w:pPr>
        <w:spacing w:before="120" w:line="264" w:lineRule="auto"/>
        <w:ind w:left="1134"/>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7746D8F1" w14:textId="292CE7B7" w:rsidR="00962E02" w:rsidRPr="006B3BDF" w:rsidRDefault="00962E02" w:rsidP="000975A3">
      <w:pPr>
        <w:ind w:left="1134"/>
        <w:jc w:val="both"/>
        <w:rPr>
          <w:sz w:val="22"/>
          <w:szCs w:val="22"/>
        </w:rPr>
      </w:pPr>
      <w:r w:rsidRPr="006B3BDF">
        <w:rPr>
          <w:sz w:val="22"/>
          <w:szCs w:val="22"/>
        </w:rPr>
        <w:lastRenderedPageBreak/>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BF4201">
        <w:rPr>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BF4201">
        <w:rPr>
          <w:sz w:val="22"/>
          <w:szCs w:val="22"/>
        </w:rPr>
        <w:t>zmeny v hodnote jednotlivých položiek rozpočtu Projektu</w:t>
      </w:r>
      <w:r w:rsidRPr="006B3BDF">
        <w:rPr>
          <w:sz w:val="22"/>
          <w:szCs w:val="22"/>
        </w:rPr>
        <w:t>, aktualizácia rozpočtu Projektu vyvoláva právne účinky</w:t>
      </w:r>
      <w:r w:rsidR="00BF4201">
        <w:rPr>
          <w:sz w:val="22"/>
          <w:szCs w:val="22"/>
        </w:rPr>
        <w:t xml:space="preserve"> </w:t>
      </w: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0975A3">
      <w:pPr>
        <w:spacing w:before="120" w:line="264" w:lineRule="auto"/>
        <w:ind w:left="1134"/>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3A7A17D7" w14:textId="451C1D48" w:rsidR="00962E02" w:rsidRPr="006B3BDF" w:rsidRDefault="00962E02" w:rsidP="000975A3">
      <w:pPr>
        <w:spacing w:before="120" w:line="264" w:lineRule="auto"/>
        <w:ind w:left="1134"/>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w:t>
      </w:r>
      <w:r w:rsidRPr="006B3BDF">
        <w:rPr>
          <w:sz w:val="22"/>
          <w:szCs w:val="22"/>
        </w:rPr>
        <w:lastRenderedPageBreak/>
        <w:t xml:space="preserve">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lastRenderedPageBreak/>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w:t>
      </w:r>
      <w:r w:rsidRPr="006B3BDF">
        <w:rPr>
          <w:sz w:val="22"/>
          <w:szCs w:val="22"/>
        </w:rPr>
        <w:lastRenderedPageBreak/>
        <w:t xml:space="preserve">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lastRenderedPageBreak/>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w:t>
      </w:r>
      <w:r w:rsidRPr="006B3BDF">
        <w:rPr>
          <w:sz w:val="22"/>
          <w:szCs w:val="22"/>
        </w:rPr>
        <w:lastRenderedPageBreak/>
        <w:t xml:space="preserve">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lastRenderedPageBreak/>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dokumentáciu z obstarávania tovarov, služieb, stavebných prác a súvisiacich postupov 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w:t>
      </w:r>
      <w:r w:rsidR="00FC3733" w:rsidRPr="006B3BDF">
        <w:rPr>
          <w:sz w:val="22"/>
          <w:szCs w:val="22"/>
        </w:rPr>
        <w:lastRenderedPageBreak/>
        <w:t>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E17D18F"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lastRenderedPageBreak/>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w:t>
      </w:r>
      <w:r w:rsidR="00BF4201">
        <w:rPr>
          <w:sz w:val="22"/>
          <w:szCs w:val="22"/>
        </w:rPr>
        <w:t> </w:t>
      </w:r>
      <w:r w:rsidRPr="006B3BDF">
        <w:rPr>
          <w:sz w:val="22"/>
          <w:szCs w:val="22"/>
        </w:rPr>
        <w:t>VO</w:t>
      </w:r>
      <w:r w:rsidR="00BF4201">
        <w:rPr>
          <w:sz w:val="22"/>
          <w:szCs w:val="22"/>
        </w:rPr>
        <w:t xml:space="preserve"> </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lastRenderedPageBreak/>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lastRenderedPageBreak/>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 xml:space="preserve">Poskytovateľ nepripustí výdavky, ktoré vzniknú z takéhoto VO do financovania v plnom rozsahu alebo uplatní zodpovedajúcu </w:t>
      </w:r>
      <w:r w:rsidR="00F61C24" w:rsidRPr="006B3BDF">
        <w:rPr>
          <w:sz w:val="22"/>
          <w:szCs w:val="22"/>
        </w:rPr>
        <w:lastRenderedPageBreak/>
        <w:t>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12CF1E3D"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Ak v súlade s Vyzvaním vyplývala pre žiadateľa povinnosť spočívajúca v tom, že žiadateľ je povinný predložiť kompletnú dokumentáciu z procesu VO v rámci konania o žiadosti o NFP vo </w:t>
      </w:r>
      <w:r w:rsidRPr="006B3BDF">
        <w:rPr>
          <w:sz w:val="22"/>
          <w:szCs w:val="22"/>
        </w:rPr>
        <w:lastRenderedPageBreak/>
        <w:t>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w:t>
      </w:r>
      <w:r w:rsidRPr="006B3BDF">
        <w:rPr>
          <w:sz w:val="22"/>
          <w:szCs w:val="22"/>
        </w:rPr>
        <w:lastRenderedPageBreak/>
        <w:t>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7DE8AF03"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 xml:space="preserve">logo </w:t>
      </w:r>
      <w:r w:rsidR="00A41C9A">
        <w:rPr>
          <w:sz w:val="22"/>
          <w:szCs w:val="22"/>
        </w:rPr>
        <w:t>operačného programu Technická pomoc</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6575215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w:t>
      </w:r>
      <w:r w:rsidR="00830A61" w:rsidRPr="00603684">
        <w:rPr>
          <w:sz w:val="22"/>
          <w:szCs w:val="22"/>
        </w:rPr>
        <w:t xml:space="preserve">do </w:t>
      </w:r>
      <w:r w:rsidR="00830A61">
        <w:rPr>
          <w:sz w:val="22"/>
          <w:szCs w:val="22"/>
        </w:rPr>
        <w:t>dvanástich</w:t>
      </w:r>
      <w:r w:rsidR="00830A61" w:rsidRPr="00603684">
        <w:rPr>
          <w:sz w:val="22"/>
          <w:szCs w:val="22"/>
        </w:rPr>
        <w:t xml:space="preserve"> mesiacov po Ukončení Realizácie hlavných aktivít Projektu</w:t>
      </w:r>
      <w:r w:rsidRPr="00603684">
        <w:rPr>
          <w:sz w:val="22"/>
          <w:szCs w:val="22"/>
        </w:rPr>
        <w:t>.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w:t>
      </w:r>
      <w:r w:rsidRPr="00603684">
        <w:rPr>
          <w:sz w:val="22"/>
          <w:szCs w:val="22"/>
        </w:rPr>
        <w:lastRenderedPageBreak/>
        <w:t xml:space="preserve">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xml:space="preserve">, Prijímateľ ako nadobúdateľ musí byť oprávnený v rozsahu, v akom to nevylučujú všeobecne-záväzné </w:t>
      </w:r>
      <w:r w:rsidRPr="00603684">
        <w:rPr>
          <w:bCs/>
          <w:sz w:val="22"/>
          <w:szCs w:val="22"/>
        </w:rPr>
        <w:lastRenderedPageBreak/>
        <w:t>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w:t>
      </w:r>
      <w:r w:rsidRPr="00603684">
        <w:rPr>
          <w:bCs/>
          <w:sz w:val="22"/>
          <w:szCs w:val="22"/>
        </w:rPr>
        <w:lastRenderedPageBreak/>
        <w:t xml:space="preserve">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2F3AC684"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r w:rsidR="005E11BF">
        <w:rPr>
          <w:sz w:val="22"/>
          <w:szCs w:val="22"/>
        </w:rPr>
        <w:t>12</w:t>
      </w:r>
      <w:commentRangeStart w:id="42"/>
      <w:r w:rsidRPr="00603684">
        <w:rPr>
          <w:sz w:val="22"/>
          <w:szCs w:val="22"/>
        </w:rPr>
        <w:t xml:space="preserve"> mesiacov </w:t>
      </w:r>
      <w:commentRangeEnd w:id="42"/>
      <w:r w:rsidRPr="00EA44FD">
        <w:rPr>
          <w:rStyle w:val="Odkaznakomentr"/>
          <w:sz w:val="22"/>
          <w:szCs w:val="22"/>
          <w:lang w:eastAsia="x-none"/>
        </w:rPr>
        <w:commentReference w:id="42"/>
      </w:r>
      <w:r w:rsidRPr="00603684">
        <w:rPr>
          <w:sz w:val="22"/>
          <w:szCs w:val="22"/>
        </w:rPr>
        <w:t xml:space="preserve">od Ukončenia realizácie </w:t>
      </w:r>
      <w:r w:rsidRPr="00603684">
        <w:rPr>
          <w:sz w:val="22"/>
          <w:szCs w:val="22"/>
        </w:rPr>
        <w:lastRenderedPageBreak/>
        <w:t xml:space="preserve">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5F9C848E"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3"/>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3"/>
      <w:r w:rsidR="00FB3443" w:rsidRPr="00510A29">
        <w:rPr>
          <w:rStyle w:val="Odkaznakomentr"/>
          <w:sz w:val="22"/>
        </w:rPr>
        <w:commentReference w:id="43"/>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 xml:space="preserve">s Právnymi predpismi SR a  právnymi aktmi EÚ upravujúcim oblasť verejného obstarávania alebo pravidiel vzťahujúcich sa k obstarávaniu služieb, tovarov a stavebných </w:t>
      </w:r>
      <w:r w:rsidRPr="00603684">
        <w:rPr>
          <w:bCs/>
          <w:sz w:val="22"/>
          <w:szCs w:val="22"/>
        </w:rPr>
        <w:lastRenderedPageBreak/>
        <w:t>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lastRenderedPageBreak/>
        <w:t xml:space="preserve">Deň Začatia realizácie hlavných aktivít Projektu je Prijímateľ povinný oznámiť Poskytovateľovi (elektronicky alebo iným spôsobom podľa článku 7 VP) </w:t>
      </w:r>
      <w:commentRangeStart w:id="44"/>
      <w:r w:rsidRPr="006B3BDF">
        <w:rPr>
          <w:sz w:val="22"/>
          <w:szCs w:val="22"/>
        </w:rPr>
        <w:t>alebo vyznačením Začatia realizácie hlavných aktivít Projektu v ITMS2014+.</w:t>
      </w:r>
      <w:commentRangeEnd w:id="44"/>
      <w:r w:rsidRPr="006B3BDF">
        <w:rPr>
          <w:rStyle w:val="Odkaznakomentr"/>
          <w:sz w:val="22"/>
          <w:szCs w:val="22"/>
        </w:rPr>
        <w:commentReference w:id="44"/>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w:t>
      </w:r>
      <w:r w:rsidRPr="006B3BDF">
        <w:rPr>
          <w:bCs/>
          <w:sz w:val="22"/>
          <w:szCs w:val="22"/>
        </w:rPr>
        <w:lastRenderedPageBreak/>
        <w:t xml:space="preserve">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5"/>
      <w:r w:rsidRPr="006B3BDF">
        <w:rPr>
          <w:bCs/>
          <w:sz w:val="22"/>
          <w:szCs w:val="22"/>
        </w:rPr>
        <w:t>Rozpočte Projektu ako tvorí prílohu rozhodnutia a </w:t>
      </w:r>
      <w:commentRangeEnd w:id="45"/>
      <w:r w:rsidRPr="006B3BDF">
        <w:rPr>
          <w:rStyle w:val="Odkaznakomentr"/>
          <w:sz w:val="22"/>
          <w:szCs w:val="22"/>
        </w:rPr>
        <w:commentReference w:id="45"/>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lastRenderedPageBreak/>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w:t>
      </w:r>
      <w:r w:rsidR="00083609" w:rsidRPr="006B3BDF">
        <w:rPr>
          <w:sz w:val="22"/>
          <w:szCs w:val="22"/>
        </w:rPr>
        <w:lastRenderedPageBreak/>
        <w:t xml:space="preserve">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07244484" w:rsidR="00EE0DF4" w:rsidRPr="006B3BDF" w:rsidRDefault="004D6331" w:rsidP="00F86DBB">
      <w:pPr>
        <w:pStyle w:val="Odsekzoznamu11"/>
        <w:numPr>
          <w:ilvl w:val="0"/>
          <w:numId w:val="36"/>
        </w:numPr>
        <w:tabs>
          <w:tab w:val="num" w:pos="-4962"/>
        </w:tabs>
        <w:spacing w:before="120" w:line="264" w:lineRule="auto"/>
        <w:ind w:left="1134" w:hanging="425"/>
        <w:contextualSpacing w:val="0"/>
        <w:jc w:val="both"/>
        <w:rPr>
          <w:sz w:val="22"/>
          <w:szCs w:val="22"/>
        </w:rPr>
      </w:pPr>
      <w:r>
        <w:rPr>
          <w:sz w:val="22"/>
          <w:szCs w:val="22"/>
        </w:rPr>
        <w:t>neuplatňuje sa</w:t>
      </w:r>
      <w:r w:rsidR="00083609"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5BF6D986"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w:t>
      </w:r>
      <w:r w:rsidR="005D1133" w:rsidRPr="006B3BDF">
        <w:rPr>
          <w:sz w:val="22"/>
          <w:szCs w:val="22"/>
        </w:rPr>
        <w:lastRenderedPageBreak/>
        <w:t xml:space="preserve">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w:t>
      </w:r>
      <w:r w:rsidRPr="006B3BDF">
        <w:rPr>
          <w:bCs/>
          <w:sz w:val="22"/>
          <w:szCs w:val="22"/>
        </w:rPr>
        <w:lastRenderedPageBreak/>
        <w:t xml:space="preserve">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6"/>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6"/>
      <w:r w:rsidRPr="00EA44FD">
        <w:rPr>
          <w:rStyle w:val="Odkaznakomentr"/>
          <w:rFonts w:eastAsia="Times New Roman"/>
          <w:sz w:val="22"/>
          <w:szCs w:val="22"/>
          <w:lang w:eastAsia="x-none"/>
        </w:rPr>
        <w:commentReference w:id="46"/>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w:t>
      </w:r>
      <w:r w:rsidRPr="00603684">
        <w:rPr>
          <w:sz w:val="22"/>
          <w:szCs w:val="22"/>
        </w:rPr>
        <w:lastRenderedPageBreak/>
        <w:t xml:space="preserve">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w:t>
      </w:r>
      <w:r w:rsidRPr="00603684">
        <w:rPr>
          <w:sz w:val="22"/>
          <w:szCs w:val="22"/>
        </w:rPr>
        <w:lastRenderedPageBreak/>
        <w:t xml:space="preserve">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lastRenderedPageBreak/>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7"/>
      <w:r w:rsidRPr="006B3BDF">
        <w:rPr>
          <w:color w:val="000000"/>
          <w:sz w:val="22"/>
          <w:szCs w:val="22"/>
        </w:rPr>
        <w:t>....</w:t>
      </w:r>
      <w:commentRangeEnd w:id="47"/>
      <w:r w:rsidRPr="006B3BDF">
        <w:rPr>
          <w:rStyle w:val="Odkaznakomentr"/>
          <w:rFonts w:eastAsia="Calibri"/>
          <w:sz w:val="22"/>
          <w:szCs w:val="22"/>
        </w:rPr>
        <w:commentReference w:id="47"/>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48"/>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48"/>
      <w:r w:rsidRPr="006B3BDF">
        <w:rPr>
          <w:rStyle w:val="Odkaznakomentr"/>
          <w:rFonts w:eastAsia="Calibri"/>
          <w:sz w:val="22"/>
          <w:szCs w:val="22"/>
        </w:rPr>
        <w:commentReference w:id="48"/>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lastRenderedPageBreak/>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77777777" w:rsidR="00A41C9A" w:rsidRDefault="008D38FE" w:rsidP="006906E6">
      <w:r>
        <w:rPr>
          <w:rStyle w:val="Odkaznakomentr"/>
        </w:rPr>
        <w:annotationRef/>
      </w:r>
      <w:r w:rsidR="00A41C9A">
        <w:rPr>
          <w:sz w:val="20"/>
          <w:szCs w:val="20"/>
        </w:rPr>
        <w:t>V prípade projektu operačného programu Technická pomoc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A41C9A" w:rsidRDefault="008D38FE" w:rsidP="004500A9">
      <w:r>
        <w:rPr>
          <w:rStyle w:val="Odkaznakomentr"/>
          <w:szCs w:val="16"/>
        </w:rPr>
        <w:annotationRef/>
      </w:r>
      <w:r w:rsidR="00A41C9A">
        <w:rPr>
          <w:sz w:val="20"/>
          <w:szCs w:val="20"/>
        </w:rPr>
        <w:t xml:space="preserve">Pri projektoch technickej pomoci na mzdy sa celé písm. b) vypustí a zvyšný text sa primerane gramaticky preformuluje.  </w:t>
      </w:r>
    </w:p>
  </w:comment>
  <w:comment w:id="8" w:author="Autor" w:initials="A">
    <w:p w14:paraId="69D2143D" w14:textId="3BCDFB46"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E13CED" w:rsidRDefault="008D38FE" w:rsidP="00EA2168">
      <w:r>
        <w:rPr>
          <w:rStyle w:val="Odkaznakomentr"/>
        </w:rPr>
        <w:annotationRef/>
      </w:r>
      <w:r w:rsidR="00E13CED">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D9A8655"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1E9FC2DA"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w:t>
      </w:r>
      <w:r w:rsidR="006D756E">
        <w:rPr>
          <w:sz w:val="20"/>
          <w:szCs w:val="20"/>
        </w:rPr>
        <w:t>y</w:t>
      </w:r>
      <w:r w:rsidR="00DC79B7">
        <w:rPr>
          <w:sz w:val="20"/>
          <w:szCs w:val="20"/>
        </w:rPr>
        <w:t xml:space="preserve">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6DF3FDCD" w14:textId="77777777" w:rsidR="005E11BF" w:rsidRDefault="008D38FE" w:rsidP="007D4B09">
      <w:r>
        <w:rPr>
          <w:rStyle w:val="Odkaznakomentr"/>
          <w:szCs w:val="16"/>
        </w:rPr>
        <w:annotationRef/>
      </w:r>
      <w:r w:rsidR="005E11BF">
        <w:rPr>
          <w:sz w:val="20"/>
          <w:szCs w:val="20"/>
        </w:rPr>
        <w:t xml:space="preserve">Upozorňuje sa na prepojenie s článkom 5 ods. 1 tejto prílohy. </w:t>
      </w:r>
      <w:r w:rsidR="005E11BF">
        <w:rPr>
          <w:sz w:val="20"/>
          <w:szCs w:val="20"/>
        </w:rPr>
        <w:cr/>
      </w:r>
      <w:r w:rsidR="005E11BF">
        <w:rPr>
          <w:sz w:val="20"/>
          <w:szCs w:val="20"/>
        </w:rPr>
        <w:c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12 mesiacov po Ukončení realizácie HA Projektu.)</w:t>
      </w:r>
    </w:p>
  </w:comment>
  <w:comment w:id="43" w:author="Autor" w:initials="A">
    <w:p w14:paraId="71907113" w14:textId="6D5AE235"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4"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5"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6"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7"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48"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77A4B" w14:textId="77777777" w:rsidR="00B821C7" w:rsidRDefault="00B821C7">
      <w:r>
        <w:separator/>
      </w:r>
    </w:p>
  </w:endnote>
  <w:endnote w:type="continuationSeparator" w:id="0">
    <w:p w14:paraId="58C5AC9B" w14:textId="77777777" w:rsidR="00B821C7" w:rsidRDefault="00B821C7">
      <w:r>
        <w:continuationSeparator/>
      </w:r>
    </w:p>
  </w:endnote>
  <w:endnote w:type="continuationNotice" w:id="1">
    <w:p w14:paraId="4CF369D5" w14:textId="77777777" w:rsidR="00B821C7" w:rsidRDefault="00B82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42B695C9"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4D2D63">
          <w:rPr>
            <w:noProof/>
            <w:sz w:val="22"/>
            <w:szCs w:val="22"/>
          </w:rPr>
          <w:t>31</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B6C77" w14:textId="77777777" w:rsidR="00B821C7" w:rsidRDefault="00B821C7">
      <w:r>
        <w:separator/>
      </w:r>
    </w:p>
  </w:footnote>
  <w:footnote w:type="continuationSeparator" w:id="0">
    <w:p w14:paraId="2EACF1E2" w14:textId="77777777" w:rsidR="00B821C7" w:rsidRDefault="00B821C7">
      <w:r>
        <w:continuationSeparator/>
      </w:r>
    </w:p>
  </w:footnote>
  <w:footnote w:type="continuationNotice" w:id="1">
    <w:p w14:paraId="0DCFFA4D" w14:textId="77777777" w:rsidR="00B821C7" w:rsidRDefault="00B821C7"/>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047609010">
    <w:abstractNumId w:val="52"/>
  </w:num>
  <w:num w:numId="2" w16cid:durableId="843514799">
    <w:abstractNumId w:val="4"/>
  </w:num>
  <w:num w:numId="3" w16cid:durableId="2122022057">
    <w:abstractNumId w:val="45"/>
  </w:num>
  <w:num w:numId="4" w16cid:durableId="551578112">
    <w:abstractNumId w:val="40"/>
  </w:num>
  <w:num w:numId="5" w16cid:durableId="1470198333">
    <w:abstractNumId w:val="58"/>
  </w:num>
  <w:num w:numId="6" w16cid:durableId="734864667">
    <w:abstractNumId w:val="42"/>
  </w:num>
  <w:num w:numId="7" w16cid:durableId="1165585334">
    <w:abstractNumId w:val="3"/>
  </w:num>
  <w:num w:numId="8" w16cid:durableId="10188265">
    <w:abstractNumId w:val="53"/>
  </w:num>
  <w:num w:numId="9" w16cid:durableId="1353265613">
    <w:abstractNumId w:val="51"/>
  </w:num>
  <w:num w:numId="10" w16cid:durableId="316612579">
    <w:abstractNumId w:val="24"/>
  </w:num>
  <w:num w:numId="11" w16cid:durableId="2121871271">
    <w:abstractNumId w:val="29"/>
  </w:num>
  <w:num w:numId="12" w16cid:durableId="1459372416">
    <w:abstractNumId w:val="15"/>
  </w:num>
  <w:num w:numId="13" w16cid:durableId="1774132704">
    <w:abstractNumId w:val="14"/>
  </w:num>
  <w:num w:numId="14" w16cid:durableId="4425723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9934996">
    <w:abstractNumId w:val="9"/>
  </w:num>
  <w:num w:numId="16" w16cid:durableId="114102267">
    <w:abstractNumId w:val="0"/>
  </w:num>
  <w:num w:numId="17" w16cid:durableId="655106846">
    <w:abstractNumId w:val="2"/>
  </w:num>
  <w:num w:numId="18" w16cid:durableId="279141909">
    <w:abstractNumId w:val="62"/>
  </w:num>
  <w:num w:numId="19" w16cid:durableId="1423985153">
    <w:abstractNumId w:val="60"/>
  </w:num>
  <w:num w:numId="20" w16cid:durableId="751700423">
    <w:abstractNumId w:val="30"/>
  </w:num>
  <w:num w:numId="21" w16cid:durableId="1160732441">
    <w:abstractNumId w:val="10"/>
  </w:num>
  <w:num w:numId="22" w16cid:durableId="1497915917">
    <w:abstractNumId w:val="59"/>
  </w:num>
  <w:num w:numId="23" w16cid:durableId="745346967">
    <w:abstractNumId w:val="47"/>
  </w:num>
  <w:num w:numId="24" w16cid:durableId="1259633447">
    <w:abstractNumId w:val="67"/>
  </w:num>
  <w:num w:numId="25" w16cid:durableId="1981614152">
    <w:abstractNumId w:val="27"/>
  </w:num>
  <w:num w:numId="26" w16cid:durableId="243761058">
    <w:abstractNumId w:val="36"/>
  </w:num>
  <w:num w:numId="27" w16cid:durableId="1649019540">
    <w:abstractNumId w:val="33"/>
  </w:num>
  <w:num w:numId="28" w16cid:durableId="282158892">
    <w:abstractNumId w:val="17"/>
  </w:num>
  <w:num w:numId="29" w16cid:durableId="1200624001">
    <w:abstractNumId w:val="37"/>
  </w:num>
  <w:num w:numId="30" w16cid:durableId="4170188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27407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26379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4703756">
    <w:abstractNumId w:val="13"/>
  </w:num>
  <w:num w:numId="34" w16cid:durableId="866600912">
    <w:abstractNumId w:val="6"/>
  </w:num>
  <w:num w:numId="35" w16cid:durableId="1814449430">
    <w:abstractNumId w:val="11"/>
  </w:num>
  <w:num w:numId="36" w16cid:durableId="931013913">
    <w:abstractNumId w:val="31"/>
  </w:num>
  <w:num w:numId="37" w16cid:durableId="1636107061">
    <w:abstractNumId w:val="66"/>
  </w:num>
  <w:num w:numId="38" w16cid:durableId="1624383481">
    <w:abstractNumId w:val="18"/>
  </w:num>
  <w:num w:numId="39" w16cid:durableId="537546894">
    <w:abstractNumId w:val="56"/>
  </w:num>
  <w:num w:numId="40" w16cid:durableId="1394428309">
    <w:abstractNumId w:val="70"/>
  </w:num>
  <w:num w:numId="41" w16cid:durableId="1324696488">
    <w:abstractNumId w:val="64"/>
  </w:num>
  <w:num w:numId="42" w16cid:durableId="1607152373">
    <w:abstractNumId w:val="21"/>
  </w:num>
  <w:num w:numId="43" w16cid:durableId="1377004331">
    <w:abstractNumId w:val="69"/>
  </w:num>
  <w:num w:numId="44" w16cid:durableId="1702167673">
    <w:abstractNumId w:val="25"/>
  </w:num>
  <w:num w:numId="45" w16cid:durableId="1394040805">
    <w:abstractNumId w:val="12"/>
  </w:num>
  <w:num w:numId="46" w16cid:durableId="1690445580">
    <w:abstractNumId w:val="68"/>
  </w:num>
  <w:num w:numId="47" w16cid:durableId="1280837235">
    <w:abstractNumId w:val="28"/>
  </w:num>
  <w:num w:numId="48" w16cid:durableId="518861605">
    <w:abstractNumId w:val="34"/>
  </w:num>
  <w:num w:numId="49" w16cid:durableId="1410301238">
    <w:abstractNumId w:val="19"/>
  </w:num>
  <w:num w:numId="50" w16cid:durableId="1446465721">
    <w:abstractNumId w:val="43"/>
  </w:num>
  <w:num w:numId="51" w16cid:durableId="1787774678">
    <w:abstractNumId w:val="49"/>
  </w:num>
  <w:num w:numId="52" w16cid:durableId="1150633007">
    <w:abstractNumId w:val="32"/>
  </w:num>
  <w:num w:numId="53" w16cid:durableId="621036160">
    <w:abstractNumId w:val="26"/>
  </w:num>
  <w:num w:numId="54" w16cid:durableId="1603026312">
    <w:abstractNumId w:val="54"/>
  </w:num>
  <w:num w:numId="55" w16cid:durableId="1874657415">
    <w:abstractNumId w:val="65"/>
  </w:num>
  <w:num w:numId="56" w16cid:durableId="1169446821">
    <w:abstractNumId w:val="16"/>
  </w:num>
  <w:num w:numId="57" w16cid:durableId="288973409">
    <w:abstractNumId w:val="57"/>
  </w:num>
  <w:num w:numId="58" w16cid:durableId="316880073">
    <w:abstractNumId w:val="20"/>
  </w:num>
  <w:num w:numId="59" w16cid:durableId="657920966">
    <w:abstractNumId w:val="63"/>
  </w:num>
  <w:num w:numId="60" w16cid:durableId="1224223029">
    <w:abstractNumId w:val="35"/>
  </w:num>
  <w:num w:numId="61" w16cid:durableId="362100908">
    <w:abstractNumId w:val="55"/>
  </w:num>
  <w:num w:numId="62" w16cid:durableId="606809091">
    <w:abstractNumId w:val="1"/>
  </w:num>
  <w:num w:numId="63" w16cid:durableId="1048651056">
    <w:abstractNumId w:val="23"/>
  </w:num>
  <w:num w:numId="64" w16cid:durableId="1117216094">
    <w:abstractNumId w:val="61"/>
  </w:num>
  <w:num w:numId="65" w16cid:durableId="4270437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02566001">
    <w:abstractNumId w:val="5"/>
  </w:num>
  <w:num w:numId="67" w16cid:durableId="2122718468">
    <w:abstractNumId w:val="8"/>
  </w:num>
  <w:num w:numId="68" w16cid:durableId="636883036">
    <w:abstractNumId w:val="50"/>
  </w:num>
  <w:num w:numId="69" w16cid:durableId="39481491">
    <w:abstractNumId w:val="58"/>
  </w:num>
  <w:num w:numId="70" w16cid:durableId="811750344">
    <w:abstractNumId w:val="48"/>
  </w:num>
  <w:num w:numId="71" w16cid:durableId="807362682">
    <w:abstractNumId w:val="7"/>
  </w:num>
  <w:num w:numId="72" w16cid:durableId="887763885">
    <w:abstractNumId w:val="71"/>
  </w:num>
  <w:num w:numId="73" w16cid:durableId="1623537561">
    <w:abstractNumId w:val="38"/>
  </w:num>
  <w:num w:numId="74" w16cid:durableId="84965462">
    <w:abstractNumId w:val="22"/>
  </w:num>
  <w:num w:numId="75" w16cid:durableId="2030182274">
    <w:abstractNumId w:val="41"/>
  </w:num>
  <w:num w:numId="76" w16cid:durableId="958609285">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975A3"/>
    <w:rsid w:val="000B4ACC"/>
    <w:rsid w:val="000B58BC"/>
    <w:rsid w:val="000B5A35"/>
    <w:rsid w:val="000D2EEE"/>
    <w:rsid w:val="000D3CB0"/>
    <w:rsid w:val="000D5892"/>
    <w:rsid w:val="000D7491"/>
    <w:rsid w:val="000E0AFE"/>
    <w:rsid w:val="000E3530"/>
    <w:rsid w:val="000E572B"/>
    <w:rsid w:val="000F54B5"/>
    <w:rsid w:val="000F6567"/>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83E41"/>
    <w:rsid w:val="00190EF8"/>
    <w:rsid w:val="00192B57"/>
    <w:rsid w:val="0019483A"/>
    <w:rsid w:val="001A03A0"/>
    <w:rsid w:val="001A31CC"/>
    <w:rsid w:val="001A4A38"/>
    <w:rsid w:val="001A7C1F"/>
    <w:rsid w:val="001B053B"/>
    <w:rsid w:val="001B38FE"/>
    <w:rsid w:val="001B4E44"/>
    <w:rsid w:val="001C152F"/>
    <w:rsid w:val="001C16CB"/>
    <w:rsid w:val="001C173E"/>
    <w:rsid w:val="001C6DD9"/>
    <w:rsid w:val="001D0108"/>
    <w:rsid w:val="001D3942"/>
    <w:rsid w:val="001D4011"/>
    <w:rsid w:val="001E08DC"/>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47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5D54"/>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2D63"/>
    <w:rsid w:val="004D3FA3"/>
    <w:rsid w:val="004D4985"/>
    <w:rsid w:val="004D6331"/>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67346"/>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11BF"/>
    <w:rsid w:val="005E238B"/>
    <w:rsid w:val="005E38FC"/>
    <w:rsid w:val="005E58C5"/>
    <w:rsid w:val="005F3698"/>
    <w:rsid w:val="005F3D0C"/>
    <w:rsid w:val="006033AB"/>
    <w:rsid w:val="00603684"/>
    <w:rsid w:val="00605166"/>
    <w:rsid w:val="00607767"/>
    <w:rsid w:val="00610836"/>
    <w:rsid w:val="0061474A"/>
    <w:rsid w:val="00616C3B"/>
    <w:rsid w:val="00627166"/>
    <w:rsid w:val="006359ED"/>
    <w:rsid w:val="00640F19"/>
    <w:rsid w:val="00643E4F"/>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D756E"/>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0686"/>
    <w:rsid w:val="0081231E"/>
    <w:rsid w:val="00826D3B"/>
    <w:rsid w:val="00830A61"/>
    <w:rsid w:val="008313BE"/>
    <w:rsid w:val="00831BB5"/>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97F55"/>
    <w:rsid w:val="008A06FB"/>
    <w:rsid w:val="008A0940"/>
    <w:rsid w:val="008A0C01"/>
    <w:rsid w:val="008A2A09"/>
    <w:rsid w:val="008A4635"/>
    <w:rsid w:val="008B0D39"/>
    <w:rsid w:val="008B7752"/>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4D51"/>
    <w:rsid w:val="00A075FC"/>
    <w:rsid w:val="00A14A77"/>
    <w:rsid w:val="00A17666"/>
    <w:rsid w:val="00A17A09"/>
    <w:rsid w:val="00A246E1"/>
    <w:rsid w:val="00A26360"/>
    <w:rsid w:val="00A30987"/>
    <w:rsid w:val="00A31753"/>
    <w:rsid w:val="00A33F54"/>
    <w:rsid w:val="00A41C9A"/>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26B97"/>
    <w:rsid w:val="00B342C1"/>
    <w:rsid w:val="00B37880"/>
    <w:rsid w:val="00B412F6"/>
    <w:rsid w:val="00B41870"/>
    <w:rsid w:val="00B46BDD"/>
    <w:rsid w:val="00B51529"/>
    <w:rsid w:val="00B521A2"/>
    <w:rsid w:val="00B54A04"/>
    <w:rsid w:val="00B74BF2"/>
    <w:rsid w:val="00B7688C"/>
    <w:rsid w:val="00B7700F"/>
    <w:rsid w:val="00B821C7"/>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4201"/>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B07B5"/>
    <w:rsid w:val="00CB4547"/>
    <w:rsid w:val="00CC1C9B"/>
    <w:rsid w:val="00CC2D38"/>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6947"/>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4D28"/>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3CED"/>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2CF6"/>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0987"/>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C0C4-72A5-4918-91DF-044315F9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29215</Words>
  <Characters>166532</Characters>
  <Application>Microsoft Office Word</Application>
  <DocSecurity>0</DocSecurity>
  <Lines>1387</Lines>
  <Paragraphs>390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2023-06-11T14:39:00Z</dcterms:created>
  <dcterms:modified xsi:type="dcterms:W3CDTF">2023-06-12T09:56:00Z</dcterms:modified>
</cp:coreProperties>
</file>